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29" w:rsidRDefault="00201129" w:rsidP="00623000">
      <w:pPr>
        <w:pStyle w:val="Huisstijl-Aanhef"/>
      </w:pPr>
      <w:bookmarkStart w:id="0" w:name="_GoBack"/>
      <w:bookmarkEnd w:id="0"/>
      <w:r>
        <w:t>Geachte voorzitter,</w:t>
      </w:r>
    </w:p>
    <w:p w:rsidR="00201129" w:rsidRDefault="00201129" w:rsidP="00623000">
      <w:pPr>
        <w:pStyle w:val="Huisstijl-Aanhef"/>
      </w:pPr>
      <w:r>
        <w:t>Bij brieven van 31 maart en 10 april 2015 heeft u laten weten dat de vaste commissie voor Financiën</w:t>
      </w:r>
      <w:r w:rsidR="00AE774F">
        <w:t xml:space="preserve"> nog</w:t>
      </w:r>
      <w:r>
        <w:t xml:space="preserve"> vóór het zomerreces een algemeen overleg wenst te voeren over internationale fiscale ontwikkelingen. </w:t>
      </w:r>
      <w:r w:rsidR="002A6601">
        <w:t>Dit algemeen overleg vindt op 3 juni aanstaande plaats.</w:t>
      </w:r>
    </w:p>
    <w:p w:rsidR="007156CA" w:rsidRDefault="007156CA" w:rsidP="007156CA">
      <w:pPr>
        <w:pStyle w:val="Huisstijl-Aanhef"/>
      </w:pPr>
      <w:r>
        <w:t xml:space="preserve">In dat kader hebben de leden van de commissie tijdens de procedurevergadering van 8 april gevraagd om een overzicht van de stand van zaken van het OESO-project Base Erosion &amp; Profit Shifting (BEPS), de Europese ontwikkelingen op fiscaal gebied, inclusief een appreciatie en een visie op het Nederlandse vestigingsklimaat. </w:t>
      </w:r>
      <w:r w:rsidR="002A6601">
        <w:t>Ook is gevraagd</w:t>
      </w:r>
      <w:r w:rsidR="00DB148F">
        <w:t xml:space="preserve"> </w:t>
      </w:r>
      <w:r w:rsidR="002A6601">
        <w:t>naar</w:t>
      </w:r>
      <w:r>
        <w:t xml:space="preserve"> </w:t>
      </w:r>
      <w:r w:rsidR="005A1FC4">
        <w:t>een</w:t>
      </w:r>
      <w:r>
        <w:t xml:space="preserve"> reactie op het SOMO-rapport over belastingontwijking in Griekenland via Nederland</w:t>
      </w:r>
      <w:r w:rsidR="002A6601">
        <w:t>.</w:t>
      </w:r>
      <w:r>
        <w:t xml:space="preserve"> </w:t>
      </w:r>
    </w:p>
    <w:p w:rsidR="007156CA" w:rsidRDefault="007156CA" w:rsidP="000C65C8">
      <w:pPr>
        <w:pStyle w:val="Huisstijl-Aanhef"/>
      </w:pPr>
      <w:r>
        <w:t>I</w:t>
      </w:r>
      <w:r w:rsidR="00DE276D">
        <w:t>n</w:t>
      </w:r>
      <w:r>
        <w:t xml:space="preserve"> deze brief </w:t>
      </w:r>
      <w:r w:rsidR="00DE276D">
        <w:t xml:space="preserve">geef ik </w:t>
      </w:r>
      <w:r>
        <w:t>de gevraagde appreciatie en visie op het Nederlandse vestigingsklimaat</w:t>
      </w:r>
      <w:r w:rsidR="00EB6EC0">
        <w:t xml:space="preserve"> en </w:t>
      </w:r>
      <w:r w:rsidR="00854BD0">
        <w:t xml:space="preserve">plaats </w:t>
      </w:r>
      <w:r w:rsidR="00DE276D">
        <w:t xml:space="preserve">ik </w:t>
      </w:r>
      <w:r w:rsidR="00EB6EC0">
        <w:t xml:space="preserve">die visie </w:t>
      </w:r>
      <w:r w:rsidR="00854BD0">
        <w:t>binnen</w:t>
      </w:r>
      <w:r w:rsidR="00EB6EC0">
        <w:t xml:space="preserve"> </w:t>
      </w:r>
      <w:r>
        <w:t xml:space="preserve">de stand van zaken in het BEPS project en de Europese ontwikkelingen rond belastingontwijking. In </w:t>
      </w:r>
      <w:r w:rsidR="00E95738">
        <w:t xml:space="preserve">een aangehechte toelichting geef ik daarvan </w:t>
      </w:r>
      <w:r>
        <w:t>een uitgebreide beschrijving. Een reactie op het genoemde SOMO rapport treft u</w:t>
      </w:r>
      <w:r w:rsidR="00DE276D">
        <w:t xml:space="preserve"> als bijlage bij </w:t>
      </w:r>
      <w:r>
        <w:t>deze brief aan.</w:t>
      </w:r>
    </w:p>
    <w:p w:rsidR="00812156" w:rsidRPr="00EB6EC0" w:rsidRDefault="00812156" w:rsidP="00812156">
      <w:pPr>
        <w:rPr>
          <w:b/>
          <w:kern w:val="3"/>
          <w:lang w:eastAsia="zh-CN"/>
        </w:rPr>
      </w:pPr>
      <w:r w:rsidRPr="00EB6EC0">
        <w:rPr>
          <w:b/>
          <w:kern w:val="3"/>
          <w:lang w:eastAsia="zh-CN"/>
        </w:rPr>
        <w:t>Vestigingsklimaat</w:t>
      </w:r>
      <w:r w:rsidR="00EB6EC0" w:rsidRPr="00EB6EC0">
        <w:rPr>
          <w:b/>
          <w:kern w:val="3"/>
          <w:lang w:eastAsia="zh-CN"/>
        </w:rPr>
        <w:t xml:space="preserve"> en Nederlandse inzet</w:t>
      </w:r>
    </w:p>
    <w:p w:rsidR="00812156" w:rsidRDefault="00812156" w:rsidP="002F6462">
      <w:pPr>
        <w:pStyle w:val="Huisstijl-Aanhef"/>
      </w:pPr>
      <w:r>
        <w:t>Nederland is altijd aantrekkelijk geweest voor de vestiging van internationale bedrijven. Dat komt door veel niet</w:t>
      </w:r>
      <w:r w:rsidR="00DE276D">
        <w:t>-</w:t>
      </w:r>
      <w:r>
        <w:t>fiscale factoren</w:t>
      </w:r>
      <w:r w:rsidR="00630AD6">
        <w:t xml:space="preserve"> </w:t>
      </w:r>
      <w:r w:rsidR="00AE774F">
        <w:t xml:space="preserve">zoals </w:t>
      </w:r>
      <w:r w:rsidR="004F49C3">
        <w:t>een hoogopgeleide</w:t>
      </w:r>
      <w:r w:rsidR="00630AD6">
        <w:t xml:space="preserve"> beroepsbevolking, </w:t>
      </w:r>
      <w:r w:rsidR="00AE774F">
        <w:t xml:space="preserve">een </w:t>
      </w:r>
      <w:r w:rsidR="00630AD6">
        <w:t>rustig politiek klimaat</w:t>
      </w:r>
      <w:r w:rsidR="00AE774F">
        <w:t xml:space="preserve"> en een</w:t>
      </w:r>
      <w:r w:rsidR="00630AD6">
        <w:t xml:space="preserve"> goede infrastructuur</w:t>
      </w:r>
      <w:r>
        <w:t>, maar het is ook te danken aan een fiscaal systeem dat internationale investeringen bevorder</w:t>
      </w:r>
      <w:r w:rsidR="00DE276D">
        <w:t>t</w:t>
      </w:r>
      <w:r>
        <w:t>.</w:t>
      </w:r>
    </w:p>
    <w:p w:rsidR="007B3BAD" w:rsidRDefault="000E0C57" w:rsidP="000C65C8">
      <w:pPr>
        <w:pStyle w:val="Huisstijl-Aanhef"/>
      </w:pPr>
      <w:r w:rsidRPr="000E0C57">
        <w:t>Het Nederlandse belastingstelsel is</w:t>
      </w:r>
      <w:r w:rsidR="008C6407">
        <w:t xml:space="preserve"> daarom</w:t>
      </w:r>
      <w:r w:rsidRPr="000E0C57">
        <w:t xml:space="preserve"> gebaseerd op het centrale principe van een gelijk speelveld tussen puur nationale en grensoverschrijdende ondernemingen. </w:t>
      </w:r>
    </w:p>
    <w:p w:rsidR="00DE276D" w:rsidRDefault="007B3BAD" w:rsidP="000C65C8">
      <w:pPr>
        <w:pStyle w:val="Huisstijl-Aanhef"/>
      </w:pPr>
      <w:r>
        <w:t xml:space="preserve">Een Nederlandse onderneming </w:t>
      </w:r>
      <w:r w:rsidR="00DE276D" w:rsidRPr="00DE276D">
        <w:t>die in het buitenland opereert</w:t>
      </w:r>
      <w:r>
        <w:t xml:space="preserve"> moet</w:t>
      </w:r>
      <w:r w:rsidR="00DE276D" w:rsidRPr="00DE276D">
        <w:t xml:space="preserve"> met lokale </w:t>
      </w:r>
      <w:r w:rsidR="000556D4">
        <w:t xml:space="preserve">ondernemingen </w:t>
      </w:r>
      <w:r w:rsidR="00DE276D" w:rsidRPr="00DE276D">
        <w:t>kunnen concurreren onder lokale voorwaarden</w:t>
      </w:r>
      <w:r w:rsidR="00DE276D">
        <w:t xml:space="preserve">. </w:t>
      </w:r>
      <w:r w:rsidR="000E0C57" w:rsidRPr="000E0C57">
        <w:t xml:space="preserve">Daarom </w:t>
      </w:r>
      <w:r w:rsidR="00854BD0">
        <w:t>kennen wij de deelnemingsvrijstelling. Een Nederlands bedrijf met activiteiten in een buitenlandse dochter hoeft over die buitenlandse winst niet ook nog eens in Nederland belasting te betalen</w:t>
      </w:r>
      <w:r w:rsidR="002F6B32">
        <w:t>, dat hoeft die buitenlandse concurrent immers ook niet</w:t>
      </w:r>
      <w:r w:rsidR="00854BD0">
        <w:t xml:space="preserve">. </w:t>
      </w:r>
    </w:p>
    <w:p w:rsidR="000E0C57" w:rsidRPr="000C65C8" w:rsidRDefault="007B3BAD" w:rsidP="002F6462">
      <w:pPr>
        <w:pStyle w:val="Hoofdtekst"/>
        <w:spacing w:before="120" w:after="240" w:line="240" w:lineRule="exact"/>
        <w:rPr>
          <w:rFonts w:ascii="Verdana" w:eastAsia="Times New Roman" w:hAnsi="Verdana" w:cs="Verdana"/>
          <w:color w:val="auto"/>
          <w:kern w:val="3"/>
          <w:sz w:val="18"/>
          <w:szCs w:val="18"/>
          <w:bdr w:val="none" w:sz="0" w:space="0" w:color="auto"/>
          <w:lang w:eastAsia="zh-CN"/>
        </w:rPr>
      </w:pPr>
      <w:r w:rsidRPr="000C65C8">
        <w:rPr>
          <w:rFonts w:ascii="Verdana" w:eastAsia="Times New Roman" w:hAnsi="Verdana" w:cs="Verdana"/>
          <w:color w:val="auto"/>
          <w:kern w:val="3"/>
          <w:sz w:val="18"/>
          <w:szCs w:val="18"/>
          <w:bdr w:val="none" w:sz="0" w:space="0" w:color="auto"/>
          <w:lang w:eastAsia="zh-CN"/>
        </w:rPr>
        <w:lastRenderedPageBreak/>
        <w:t xml:space="preserve">Vanuit dezelfde gedachte behandelen wij een buitenlandse onderneming die in </w:t>
      </w:r>
      <w:r w:rsidR="00DE276D" w:rsidRPr="000C65C8">
        <w:rPr>
          <w:rFonts w:ascii="Verdana" w:eastAsia="Times New Roman" w:hAnsi="Verdana" w:cs="Verdana"/>
          <w:color w:val="auto"/>
          <w:kern w:val="3"/>
          <w:sz w:val="18"/>
          <w:szCs w:val="18"/>
          <w:bdr w:val="none" w:sz="0" w:space="0" w:color="auto"/>
          <w:lang w:eastAsia="zh-CN"/>
        </w:rPr>
        <w:t xml:space="preserve">Nederland </w:t>
      </w:r>
      <w:r w:rsidRPr="000C65C8">
        <w:rPr>
          <w:rFonts w:ascii="Verdana" w:eastAsia="Times New Roman" w:hAnsi="Verdana" w:cs="Verdana"/>
          <w:color w:val="auto"/>
          <w:kern w:val="3"/>
          <w:sz w:val="18"/>
          <w:szCs w:val="18"/>
          <w:bdr w:val="none" w:sz="0" w:space="0" w:color="auto"/>
          <w:lang w:eastAsia="zh-CN"/>
        </w:rPr>
        <w:t xml:space="preserve">actief is, </w:t>
      </w:r>
      <w:r w:rsidR="00DE276D" w:rsidRPr="000C65C8">
        <w:rPr>
          <w:rFonts w:ascii="Verdana" w:eastAsia="Times New Roman" w:hAnsi="Verdana" w:cs="Verdana"/>
          <w:color w:val="auto"/>
          <w:kern w:val="3"/>
          <w:sz w:val="18"/>
          <w:szCs w:val="18"/>
          <w:bdr w:val="none" w:sz="0" w:space="0" w:color="auto"/>
          <w:lang w:eastAsia="zh-CN"/>
        </w:rPr>
        <w:t>gelijk aan een binnenlands bedrijf. Daarom</w:t>
      </w:r>
      <w:r w:rsidR="00854BD0" w:rsidRPr="000C65C8">
        <w:rPr>
          <w:rFonts w:ascii="Verdana" w:eastAsia="Times New Roman" w:hAnsi="Verdana" w:cs="Verdana"/>
          <w:color w:val="auto"/>
          <w:kern w:val="3"/>
          <w:sz w:val="18"/>
          <w:szCs w:val="18"/>
          <w:bdr w:val="none" w:sz="0" w:space="0" w:color="auto"/>
          <w:lang w:eastAsia="zh-CN"/>
        </w:rPr>
        <w:t xml:space="preserve"> </w:t>
      </w:r>
      <w:r w:rsidR="000E0C57" w:rsidRPr="000C65C8">
        <w:rPr>
          <w:rFonts w:ascii="Verdana" w:eastAsia="Times New Roman" w:hAnsi="Verdana" w:cs="Verdana"/>
          <w:color w:val="auto"/>
          <w:kern w:val="3"/>
          <w:sz w:val="18"/>
          <w:szCs w:val="18"/>
          <w:bdr w:val="none" w:sz="0" w:space="0" w:color="auto"/>
          <w:lang w:eastAsia="zh-CN"/>
        </w:rPr>
        <w:t xml:space="preserve">kent Nederland geen bronheffing </w:t>
      </w:r>
      <w:r w:rsidR="00854BD0" w:rsidRPr="000C65C8">
        <w:rPr>
          <w:rFonts w:ascii="Verdana" w:eastAsia="Times New Roman" w:hAnsi="Verdana" w:cs="Verdana"/>
          <w:color w:val="auto"/>
          <w:kern w:val="3"/>
          <w:sz w:val="18"/>
          <w:szCs w:val="18"/>
          <w:bdr w:val="none" w:sz="0" w:space="0" w:color="auto"/>
          <w:lang w:eastAsia="zh-CN"/>
        </w:rPr>
        <w:t>op rente en royalty’s</w:t>
      </w:r>
      <w:r w:rsidRPr="000C65C8">
        <w:rPr>
          <w:rFonts w:ascii="Verdana" w:eastAsia="Times New Roman" w:hAnsi="Verdana" w:cs="Verdana"/>
          <w:color w:val="auto"/>
          <w:kern w:val="3"/>
          <w:sz w:val="18"/>
          <w:szCs w:val="18"/>
          <w:bdr w:val="none" w:sz="0" w:space="0" w:color="auto"/>
          <w:lang w:eastAsia="zh-CN"/>
        </w:rPr>
        <w:t>.</w:t>
      </w:r>
      <w:r>
        <w:rPr>
          <w:rFonts w:ascii="Verdana" w:hAnsi="Verdana"/>
          <w:sz w:val="18"/>
          <w:szCs w:val="18"/>
        </w:rPr>
        <w:t xml:space="preserve"> </w:t>
      </w:r>
      <w:r w:rsidR="002F6B32">
        <w:rPr>
          <w:rFonts w:ascii="Verdana" w:hAnsi="Verdana"/>
          <w:sz w:val="18"/>
          <w:szCs w:val="18"/>
        </w:rPr>
        <w:t>De buitenlandse onderneming hoeft geen bronbelasting te betalen, dat hoeft zijn binnenlandse concurrent immers ook niet. E</w:t>
      </w:r>
      <w:r w:rsidRPr="000C65C8">
        <w:rPr>
          <w:rFonts w:ascii="Verdana" w:eastAsia="Times New Roman" w:hAnsi="Verdana" w:cs="Verdana"/>
          <w:color w:val="auto"/>
          <w:kern w:val="3"/>
          <w:sz w:val="18"/>
          <w:szCs w:val="18"/>
          <w:bdr w:val="none" w:sz="0" w:space="0" w:color="auto"/>
          <w:lang w:eastAsia="zh-CN"/>
        </w:rPr>
        <w:t xml:space="preserve">en dergelijke bronheffing </w:t>
      </w:r>
      <w:r w:rsidR="002F6B32">
        <w:rPr>
          <w:rFonts w:ascii="Verdana" w:eastAsia="Times New Roman" w:hAnsi="Verdana" w:cs="Verdana"/>
          <w:color w:val="auto"/>
          <w:kern w:val="3"/>
          <w:sz w:val="18"/>
          <w:szCs w:val="18"/>
          <w:bdr w:val="none" w:sz="0" w:space="0" w:color="auto"/>
          <w:lang w:eastAsia="zh-CN"/>
        </w:rPr>
        <w:t xml:space="preserve">zou </w:t>
      </w:r>
      <w:r w:rsidR="00854BD0" w:rsidRPr="000C65C8">
        <w:rPr>
          <w:rFonts w:ascii="Verdana" w:eastAsia="Times New Roman" w:hAnsi="Verdana" w:cs="Verdana"/>
          <w:color w:val="auto"/>
          <w:kern w:val="3"/>
          <w:sz w:val="18"/>
          <w:szCs w:val="18"/>
          <w:bdr w:val="none" w:sz="0" w:space="0" w:color="auto"/>
          <w:lang w:eastAsia="zh-CN"/>
        </w:rPr>
        <w:t>in veel gevallen tot dubbele belasting</w:t>
      </w:r>
      <w:r w:rsidR="002F6B32">
        <w:rPr>
          <w:rFonts w:ascii="Verdana" w:eastAsia="Times New Roman" w:hAnsi="Verdana" w:cs="Verdana"/>
          <w:color w:val="auto"/>
          <w:kern w:val="3"/>
          <w:sz w:val="18"/>
          <w:szCs w:val="18"/>
          <w:bdr w:val="none" w:sz="0" w:space="0" w:color="auto"/>
          <w:lang w:eastAsia="zh-CN"/>
        </w:rPr>
        <w:t xml:space="preserve"> leiden</w:t>
      </w:r>
      <w:r w:rsidR="00AE774F" w:rsidRPr="000C65C8">
        <w:rPr>
          <w:rFonts w:ascii="Verdana" w:eastAsia="Times New Roman" w:hAnsi="Verdana" w:cs="Verdana"/>
          <w:color w:val="auto"/>
          <w:kern w:val="3"/>
          <w:sz w:val="18"/>
          <w:szCs w:val="18"/>
          <w:bdr w:val="none" w:sz="0" w:space="0" w:color="auto"/>
          <w:lang w:eastAsia="zh-CN"/>
        </w:rPr>
        <w:t>. Hier</w:t>
      </w:r>
      <w:r w:rsidR="00854BD0" w:rsidRPr="000C65C8">
        <w:rPr>
          <w:rFonts w:ascii="Verdana" w:eastAsia="Times New Roman" w:hAnsi="Verdana" w:cs="Verdana"/>
          <w:color w:val="auto"/>
          <w:kern w:val="3"/>
          <w:sz w:val="18"/>
          <w:szCs w:val="18"/>
          <w:bdr w:val="none" w:sz="0" w:space="0" w:color="auto"/>
          <w:lang w:eastAsia="zh-CN"/>
        </w:rPr>
        <w:t xml:space="preserve">door </w:t>
      </w:r>
      <w:r w:rsidR="00AE774F" w:rsidRPr="000C65C8">
        <w:rPr>
          <w:rFonts w:ascii="Verdana" w:eastAsia="Times New Roman" w:hAnsi="Verdana" w:cs="Verdana"/>
          <w:color w:val="auto"/>
          <w:kern w:val="3"/>
          <w:sz w:val="18"/>
          <w:szCs w:val="18"/>
          <w:bdr w:val="none" w:sz="0" w:space="0" w:color="auto"/>
          <w:lang w:eastAsia="zh-CN"/>
        </w:rPr>
        <w:t xml:space="preserve">zou </w:t>
      </w:r>
      <w:r w:rsidR="00854BD0" w:rsidRPr="000C65C8">
        <w:rPr>
          <w:rFonts w:ascii="Verdana" w:eastAsia="Times New Roman" w:hAnsi="Verdana" w:cs="Verdana"/>
          <w:color w:val="auto"/>
          <w:kern w:val="3"/>
          <w:sz w:val="18"/>
          <w:szCs w:val="18"/>
          <w:bdr w:val="none" w:sz="0" w:space="0" w:color="auto"/>
          <w:lang w:eastAsia="zh-CN"/>
        </w:rPr>
        <w:t>die buitenlandse investering in Nederland minder aantrekkelijk word</w:t>
      </w:r>
      <w:r w:rsidR="00AE774F" w:rsidRPr="000C65C8">
        <w:rPr>
          <w:rFonts w:ascii="Verdana" w:eastAsia="Times New Roman" w:hAnsi="Verdana" w:cs="Verdana"/>
          <w:color w:val="auto"/>
          <w:kern w:val="3"/>
          <w:sz w:val="18"/>
          <w:szCs w:val="18"/>
          <w:bdr w:val="none" w:sz="0" w:space="0" w:color="auto"/>
          <w:lang w:eastAsia="zh-CN"/>
        </w:rPr>
        <w:t>en</w:t>
      </w:r>
      <w:r w:rsidR="00854BD0" w:rsidRPr="000C65C8">
        <w:rPr>
          <w:rFonts w:ascii="Verdana" w:eastAsia="Times New Roman" w:hAnsi="Verdana" w:cs="Verdana"/>
          <w:color w:val="auto"/>
          <w:kern w:val="3"/>
          <w:sz w:val="18"/>
          <w:szCs w:val="18"/>
          <w:bdr w:val="none" w:sz="0" w:space="0" w:color="auto"/>
          <w:lang w:eastAsia="zh-CN"/>
        </w:rPr>
        <w:t>.</w:t>
      </w:r>
      <w:r w:rsidR="000E0C57" w:rsidRPr="000C65C8">
        <w:rPr>
          <w:rFonts w:ascii="Verdana" w:eastAsia="Times New Roman" w:hAnsi="Verdana" w:cs="Verdana"/>
          <w:color w:val="auto"/>
          <w:kern w:val="3"/>
          <w:sz w:val="18"/>
          <w:szCs w:val="18"/>
          <w:bdr w:val="none" w:sz="0" w:space="0" w:color="auto"/>
          <w:lang w:eastAsia="zh-CN"/>
        </w:rPr>
        <w:t xml:space="preserve"> </w:t>
      </w:r>
    </w:p>
    <w:p w:rsidR="000E0C57" w:rsidRPr="000E0C57" w:rsidRDefault="000E0C57" w:rsidP="000C65C8">
      <w:pPr>
        <w:pStyle w:val="Huisstijl-Aanhef"/>
      </w:pPr>
      <w:r w:rsidRPr="000E0C57">
        <w:t>Ook</w:t>
      </w:r>
      <w:r w:rsidR="00AE774F">
        <w:t xml:space="preserve"> binnen</w:t>
      </w:r>
      <w:r w:rsidRPr="000E0C57">
        <w:t xml:space="preserve"> de Europese </w:t>
      </w:r>
      <w:r w:rsidR="00DE276D">
        <w:t>U</w:t>
      </w:r>
      <w:r w:rsidRPr="000E0C57">
        <w:t xml:space="preserve">nie </w:t>
      </w:r>
      <w:r w:rsidR="00F47967">
        <w:t>geldt</w:t>
      </w:r>
      <w:r w:rsidRPr="000E0C57">
        <w:t xml:space="preserve"> dit beginsel van een gelijk speelveld. Dit is vastgelegd in </w:t>
      </w:r>
      <w:r w:rsidR="00854BD0">
        <w:t>de Moeder-</w:t>
      </w:r>
      <w:r w:rsidR="00DE276D">
        <w:t>D</w:t>
      </w:r>
      <w:r w:rsidR="00854BD0">
        <w:t>ochter</w:t>
      </w:r>
      <w:r w:rsidR="00DE276D">
        <w:t>richtlijn</w:t>
      </w:r>
      <w:r w:rsidR="00854BD0">
        <w:t xml:space="preserve"> en de Interest- en </w:t>
      </w:r>
      <w:r w:rsidR="00DE276D">
        <w:t>R</w:t>
      </w:r>
      <w:r w:rsidR="00854BD0">
        <w:t>oyaltyrichtlijn</w:t>
      </w:r>
      <w:r w:rsidRPr="000E0C57">
        <w:t>, die bronheffing</w:t>
      </w:r>
      <w:r w:rsidR="005A1FC4">
        <w:t>en</w:t>
      </w:r>
      <w:r w:rsidRPr="000E0C57">
        <w:t xml:space="preserve"> </w:t>
      </w:r>
      <w:r w:rsidR="005A1FC4">
        <w:t xml:space="preserve">in concernverband </w:t>
      </w:r>
      <w:r w:rsidRPr="000E0C57">
        <w:t xml:space="preserve">tussen lidstaten </w:t>
      </w:r>
      <w:r w:rsidR="00854BD0">
        <w:t>verbied</w:t>
      </w:r>
      <w:r w:rsidR="006149FB">
        <w:t>en</w:t>
      </w:r>
      <w:r w:rsidR="00AE774F">
        <w:t xml:space="preserve">. Hierdoor </w:t>
      </w:r>
      <w:r w:rsidR="004F49C3">
        <w:t>kunnen binnenlandse</w:t>
      </w:r>
      <w:r w:rsidR="00854BD0">
        <w:t xml:space="preserve"> en buitenlandse onderneming</w:t>
      </w:r>
      <w:r w:rsidRPr="000E0C57">
        <w:t xml:space="preserve">en </w:t>
      </w:r>
      <w:r w:rsidR="00854BD0">
        <w:t xml:space="preserve">overal gelijk </w:t>
      </w:r>
      <w:r w:rsidR="00DF161E">
        <w:t xml:space="preserve">worden </w:t>
      </w:r>
      <w:r w:rsidR="00854BD0">
        <w:t>behandeld</w:t>
      </w:r>
      <w:r w:rsidR="006149FB">
        <w:t>.</w:t>
      </w:r>
      <w:r w:rsidRPr="000E0C57">
        <w:t xml:space="preserve"> Maar voor Nederland eindigt internationaal ondernemerschap niet bij de Europese buitengrenzen. Wij hanteren dit principe wereldwijd. En niet pas sinds gisteren</w:t>
      </w:r>
      <w:r w:rsidR="006149FB">
        <w:t>.</w:t>
      </w:r>
      <w:r w:rsidRPr="000E0C57">
        <w:t xml:space="preserve"> Nederland </w:t>
      </w:r>
      <w:r w:rsidR="005A1FC4">
        <w:t>kent</w:t>
      </w:r>
      <w:r w:rsidRPr="000E0C57">
        <w:t xml:space="preserve"> deze mondiale oriëntatie al </w:t>
      </w:r>
      <w:r w:rsidR="00DE276D">
        <w:t>sinds het ontstaan van de moderne belastingregels</w:t>
      </w:r>
      <w:r w:rsidR="005271AE">
        <w:t>. O</w:t>
      </w:r>
      <w:r w:rsidRPr="000E0C57">
        <w:t xml:space="preserve">p basis daarvan </w:t>
      </w:r>
      <w:r w:rsidR="005271AE">
        <w:t xml:space="preserve">hebben we </w:t>
      </w:r>
      <w:r w:rsidRPr="000E0C57">
        <w:t>vele ondernemingen tot imposante multinationals zien ontwikkelen. Met zicht op verdergaande mondialisering is</w:t>
      </w:r>
      <w:r w:rsidR="005271AE">
        <w:t xml:space="preserve"> het</w:t>
      </w:r>
      <w:r w:rsidRPr="000E0C57">
        <w:t xml:space="preserve"> te verwachten dat meer en meer landen dit internationale gelijke speelveld in hun belastingstelsel zullen </w:t>
      </w:r>
      <w:r w:rsidR="004F49C3" w:rsidRPr="000E0C57">
        <w:t xml:space="preserve">verankeren. </w:t>
      </w:r>
    </w:p>
    <w:p w:rsidR="009B704F" w:rsidRDefault="000E0C57" w:rsidP="000C65C8">
      <w:pPr>
        <w:pStyle w:val="Huisstijl-Aanhef"/>
      </w:pPr>
      <w:r w:rsidRPr="000E0C57">
        <w:t>Tegelijkertijd mogen de ogen niet worden gesloten voor</w:t>
      </w:r>
      <w:r w:rsidR="00727B2C">
        <w:t xml:space="preserve"> </w:t>
      </w:r>
      <w:r w:rsidR="00560FC5">
        <w:t>de mogelijkheden die internationaal opererende bedrijven</w:t>
      </w:r>
      <w:r w:rsidR="00F468C6">
        <w:t xml:space="preserve"> </w:t>
      </w:r>
      <w:r w:rsidR="00560FC5">
        <w:t>hebben gevonden om, mede d</w:t>
      </w:r>
      <w:r w:rsidRPr="000E0C57">
        <w:t>oor verschillen tussen belastingstelsels</w:t>
      </w:r>
      <w:r w:rsidR="00560FC5">
        <w:t>,</w:t>
      </w:r>
      <w:r w:rsidRPr="000E0C57">
        <w:t xml:space="preserve"> hun grondslag uit</w:t>
      </w:r>
      <w:r w:rsidR="00560FC5">
        <w:t xml:space="preserve"> te </w:t>
      </w:r>
      <w:r w:rsidRPr="000E0C57">
        <w:t xml:space="preserve">hollen of winsten </w:t>
      </w:r>
      <w:r w:rsidR="00560FC5">
        <w:t xml:space="preserve">te </w:t>
      </w:r>
      <w:r w:rsidRPr="000E0C57">
        <w:t>verschuiven</w:t>
      </w:r>
      <w:r w:rsidR="005271AE">
        <w:t>. We hebben het dan over</w:t>
      </w:r>
      <w:r w:rsidRPr="000E0C57">
        <w:t xml:space="preserve"> manieren die door de wetgevers van de betrokken landen nooit wa</w:t>
      </w:r>
      <w:r w:rsidR="005271AE">
        <w:t>ren</w:t>
      </w:r>
      <w:r w:rsidRPr="000E0C57">
        <w:t xml:space="preserve"> voorzien of beoogd. </w:t>
      </w:r>
    </w:p>
    <w:p w:rsidR="000E0C57" w:rsidRPr="000E0C57" w:rsidRDefault="000E0C57" w:rsidP="000C65C8">
      <w:pPr>
        <w:pStyle w:val="Huisstijl-Aanhef"/>
      </w:pPr>
      <w:r w:rsidRPr="000E0C57">
        <w:t>Voor</w:t>
      </w:r>
      <w:r w:rsidR="009B704F">
        <w:t xml:space="preserve"> deze</w:t>
      </w:r>
      <w:r w:rsidRPr="000E0C57">
        <w:t xml:space="preserve"> belastingontwijking is de laatste tijd steeds meer aandacht</w:t>
      </w:r>
      <w:r w:rsidR="00DE276D">
        <w:t>. Di</w:t>
      </w:r>
      <w:r w:rsidR="00930292">
        <w:t>e</w:t>
      </w:r>
      <w:r w:rsidR="00DE276D">
        <w:t xml:space="preserve"> aandacht is</w:t>
      </w:r>
      <w:r w:rsidRPr="000E0C57">
        <w:t xml:space="preserve"> logisch, want begrotingen staan onder druk en de belastingdruk </w:t>
      </w:r>
      <w:r w:rsidR="009301D5">
        <w:t xml:space="preserve">voor burgers </w:t>
      </w:r>
      <w:r w:rsidRPr="000E0C57">
        <w:t xml:space="preserve">werd verhoogd. </w:t>
      </w:r>
      <w:r w:rsidR="009301D5">
        <w:t>Die aandacht is</w:t>
      </w:r>
      <w:r w:rsidR="00DE276D">
        <w:t xml:space="preserve"> ook</w:t>
      </w:r>
      <w:r w:rsidRPr="000E0C57">
        <w:t xml:space="preserve"> terecht, want belastingontwijking is slecht voor de wereld</w:t>
      </w:r>
      <w:r w:rsidR="00DE276D">
        <w:t>,</w:t>
      </w:r>
      <w:r w:rsidRPr="000E0C57">
        <w:t xml:space="preserve"> slecht voor Nederland</w:t>
      </w:r>
      <w:r w:rsidR="003B2BEC">
        <w:t xml:space="preserve"> </w:t>
      </w:r>
      <w:r w:rsidR="003B2BEC" w:rsidRPr="00DE276D">
        <w:t xml:space="preserve">en </w:t>
      </w:r>
      <w:r w:rsidR="00DE276D" w:rsidRPr="00DE276D">
        <w:t xml:space="preserve">slecht </w:t>
      </w:r>
      <w:r w:rsidR="003B2BEC" w:rsidRPr="00DE276D">
        <w:t>voor ondernemingen</w:t>
      </w:r>
      <w:r w:rsidR="009B704F">
        <w:t>. Het</w:t>
      </w:r>
      <w:r w:rsidR="00DE276D" w:rsidRPr="00DE276D">
        <w:t xml:space="preserve"> </w:t>
      </w:r>
      <w:r w:rsidR="003B2BEC" w:rsidRPr="00DE276D">
        <w:t xml:space="preserve">verstoort </w:t>
      </w:r>
      <w:r w:rsidR="005A1FC4">
        <w:t xml:space="preserve">immers </w:t>
      </w:r>
      <w:r w:rsidR="00DE276D" w:rsidRPr="00DE276D">
        <w:t xml:space="preserve">de eerlijke </w:t>
      </w:r>
      <w:r w:rsidR="003B2BEC" w:rsidRPr="00DE276D">
        <w:t>concurrentie</w:t>
      </w:r>
      <w:r w:rsidRPr="000E0C57">
        <w:t xml:space="preserve">. Het ondermijnt </w:t>
      </w:r>
      <w:r w:rsidR="00F47967">
        <w:t xml:space="preserve">bovendien </w:t>
      </w:r>
      <w:r w:rsidRPr="000E0C57">
        <w:t xml:space="preserve">de belastingmoraal en werpt, terecht of onterecht, een smet op ons uitstekende vestigingsklimaat. Ik ben het afgelopen jaar intensief in gesprek geweest met maatschappelijke organisaties over dit onderwerp. De standpunten lagen eerst wel heel ver uit elkaar, maar ik constateer een zekere, constructieve convergentie. Ik hoor </w:t>
      </w:r>
      <w:r w:rsidR="005A1FC4">
        <w:t xml:space="preserve">enerzijds </w:t>
      </w:r>
      <w:r w:rsidRPr="000E0C57">
        <w:t xml:space="preserve">niet meer zo vaak dat zekerheid vooraf neerkomt op stiekeme voordeeltjes, of </w:t>
      </w:r>
      <w:r w:rsidR="005A1FC4">
        <w:t xml:space="preserve">anderzijds </w:t>
      </w:r>
      <w:r w:rsidRPr="000E0C57">
        <w:t>dat alles wat wettelijk mogelijk</w:t>
      </w:r>
      <w:r w:rsidR="00F47967">
        <w:t xml:space="preserve"> is</w:t>
      </w:r>
      <w:r w:rsidR="002F1B32">
        <w:t>,</w:t>
      </w:r>
      <w:r w:rsidR="00F47967">
        <w:t xml:space="preserve"> daarom ook maar moet mogen, zonder morele weging</w:t>
      </w:r>
      <w:r w:rsidRPr="000E0C57">
        <w:t xml:space="preserve">. </w:t>
      </w:r>
    </w:p>
    <w:p w:rsidR="001F1F2B" w:rsidRDefault="000E0C57" w:rsidP="000C65C8">
      <w:pPr>
        <w:pStyle w:val="Huisstijl-Aanhef"/>
      </w:pPr>
      <w:r w:rsidRPr="000E0C57">
        <w:t xml:space="preserve">De inzet van </w:t>
      </w:r>
      <w:r w:rsidR="005A1FC4">
        <w:t>het kabinet</w:t>
      </w:r>
      <w:r w:rsidRPr="000E0C57">
        <w:t xml:space="preserve"> is niet hetzelfde voor ieder internationaal fiscaal vraagstuk</w:t>
      </w:r>
      <w:r w:rsidR="005A1FC4">
        <w:t xml:space="preserve">, maar </w:t>
      </w:r>
      <w:r w:rsidRPr="000E0C57">
        <w:t>verschilt per onderwerp</w:t>
      </w:r>
      <w:r w:rsidR="00346A53">
        <w:t>. Die inzet hangt</w:t>
      </w:r>
      <w:r w:rsidR="00F468C6">
        <w:t xml:space="preserve"> </w:t>
      </w:r>
      <w:r w:rsidRPr="000E0C57">
        <w:t xml:space="preserve">enerzijds </w:t>
      </w:r>
      <w:r w:rsidR="00346A53">
        <w:t xml:space="preserve">af van </w:t>
      </w:r>
      <w:r w:rsidRPr="000E0C57">
        <w:t xml:space="preserve">het </w:t>
      </w:r>
      <w:r w:rsidR="00346A53">
        <w:t>risico dat het reële bedrijfsleven onnodig hinder gaat ondervinden van de maatregelen die nu worden besproken. Anderzijd</w:t>
      </w:r>
      <w:r w:rsidR="00F468C6">
        <w:t>s</w:t>
      </w:r>
      <w:r w:rsidR="00346A53">
        <w:t xml:space="preserve"> weegt mee hoe groot </w:t>
      </w:r>
      <w:r w:rsidRPr="000E0C57">
        <w:t>het risico op</w:t>
      </w:r>
      <w:r w:rsidR="00346A53">
        <w:t xml:space="preserve"> misbruik is</w:t>
      </w:r>
      <w:r w:rsidR="001F1F2B">
        <w:t xml:space="preserve">. Schematisch ziet dat er als volgt </w:t>
      </w:r>
      <w:r w:rsidR="004F49C3">
        <w:t>uit:</w:t>
      </w:r>
      <w:r w:rsidR="004F49C3" w:rsidRPr="000E0C57" w:rsidDel="001F1F2B">
        <w:t xml:space="preserve"> </w:t>
      </w:r>
    </w:p>
    <w:p w:rsidR="001F1F2B" w:rsidRDefault="001F1F2B">
      <w:pPr>
        <w:spacing w:line="240" w:lineRule="auto"/>
        <w:rPr>
          <w:rFonts w:eastAsia="Arial Unicode MS" w:cs="Arial Unicode MS"/>
          <w:color w:val="000000"/>
          <w:bdr w:val="nil"/>
        </w:rPr>
      </w:pPr>
      <w:r>
        <w:br w:type="page"/>
      </w:r>
    </w:p>
    <w:p w:rsidR="00346A53" w:rsidRDefault="00346A53" w:rsidP="001F1F2B">
      <w:pPr>
        <w:pStyle w:val="Hoofdtekst"/>
        <w:rPr>
          <w:rFonts w:ascii="Verdana" w:hAnsi="Verdana"/>
          <w:sz w:val="18"/>
          <w:szCs w:val="18"/>
        </w:rPr>
      </w:pPr>
    </w:p>
    <w:p w:rsidR="00346A53" w:rsidRPr="000E0C57" w:rsidRDefault="00E43FD2" w:rsidP="001F1F2B">
      <w:pPr>
        <w:pStyle w:val="Hoofdtekst"/>
        <w:rPr>
          <w:rFonts w:ascii="Verdana" w:hAnsi="Verdana"/>
          <w:sz w:val="18"/>
          <w:szCs w:val="18"/>
        </w:rPr>
      </w:pPr>
      <w:r>
        <w:rPr>
          <w:rFonts w:ascii="Verdana" w:hAnsi="Verdana"/>
          <w:noProof/>
          <w:sz w:val="18"/>
          <w:szCs w:val="18"/>
          <w:bdr w:val="none" w:sz="0" w:space="0" w:color="auto"/>
        </w:rPr>
        <mc:AlternateContent>
          <mc:Choice Requires="wpc">
            <w:drawing>
              <wp:inline distT="0" distB="0" distL="0" distR="0">
                <wp:extent cx="9819640" cy="4959985"/>
                <wp:effectExtent l="9525" t="38100" r="635" b="2540"/>
                <wp:docPr id="12"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
                        <wps:cNvCnPr>
                          <a:cxnSpLocks noChangeShapeType="1"/>
                        </wps:cNvCnPr>
                        <wps:spPr bwMode="auto">
                          <a:xfrm flipH="1" flipV="1">
                            <a:off x="310230" y="0"/>
                            <a:ext cx="46980" cy="44683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SpPr>
                          <a:spLocks noChangeArrowheads="1"/>
                        </wps:cNvSpPr>
                        <wps:spPr bwMode="auto">
                          <a:xfrm>
                            <a:off x="588871" y="675478"/>
                            <a:ext cx="1922132" cy="2879286"/>
                          </a:xfrm>
                          <a:prstGeom prst="roundRect">
                            <a:avLst>
                              <a:gd name="adj" fmla="val 16667"/>
                            </a:avLst>
                          </a:prstGeom>
                          <a:solidFill>
                            <a:srgbClr val="FFFFFF"/>
                          </a:solidFill>
                          <a:ln w="28575">
                            <a:solidFill>
                              <a:schemeClr val="tx1">
                                <a:lumMod val="100000"/>
                                <a:lumOff val="0"/>
                              </a:schemeClr>
                            </a:solidFill>
                            <a:round/>
                            <a:headEnd/>
                            <a:tailEnd/>
                          </a:ln>
                        </wps:spPr>
                        <wps:txbx>
                          <w:txbxContent>
                            <w:p w:rsidR="00664166" w:rsidRDefault="00664166" w:rsidP="00346A53">
                              <w:pPr>
                                <w:rPr>
                                  <w:b/>
                                </w:rPr>
                              </w:pPr>
                              <w:r>
                                <w:rPr>
                                  <w:b/>
                                </w:rPr>
                                <w:t>2. Vooroplopen, initiatieven nemen</w:t>
                              </w:r>
                            </w:p>
                            <w:p w:rsidR="00664166" w:rsidRDefault="00664166" w:rsidP="00346A53">
                              <w:pPr>
                                <w:pStyle w:val="Lijstalinea"/>
                                <w:numPr>
                                  <w:ilvl w:val="0"/>
                                  <w:numId w:val="24"/>
                                </w:numPr>
                                <w:ind w:left="284" w:hanging="284"/>
                              </w:pPr>
                              <w:r>
                                <w:t>Transparantie</w:t>
                              </w:r>
                            </w:p>
                            <w:p w:rsidR="00664166" w:rsidRDefault="00664166" w:rsidP="00ED293A">
                              <w:pPr>
                                <w:pStyle w:val="Lijstalinea"/>
                                <w:numPr>
                                  <w:ilvl w:val="1"/>
                                  <w:numId w:val="24"/>
                                </w:numPr>
                                <w:ind w:left="426" w:hanging="142"/>
                              </w:pPr>
                              <w:r>
                                <w:t>Informatie uitwisselen</w:t>
                              </w:r>
                            </w:p>
                            <w:p w:rsidR="00664166" w:rsidRDefault="00664166" w:rsidP="00ED293A">
                              <w:pPr>
                                <w:pStyle w:val="Lijstalinea"/>
                                <w:numPr>
                                  <w:ilvl w:val="1"/>
                                  <w:numId w:val="24"/>
                                </w:numPr>
                                <w:ind w:left="426" w:hanging="142"/>
                              </w:pPr>
                              <w:r>
                                <w:t>Rulings delen</w:t>
                              </w:r>
                            </w:p>
                            <w:p w:rsidR="00664166" w:rsidRPr="00DC6187" w:rsidRDefault="00664166" w:rsidP="00346A53">
                              <w:pPr>
                                <w:pStyle w:val="Lijstalinea"/>
                                <w:numPr>
                                  <w:ilvl w:val="0"/>
                                  <w:numId w:val="24"/>
                                </w:numPr>
                                <w:ind w:left="284" w:hanging="284"/>
                                <w:rPr>
                                  <w:b/>
                                </w:rPr>
                              </w:pPr>
                              <w:r>
                                <w:t>Transfer pricing</w:t>
                              </w:r>
                            </w:p>
                            <w:p w:rsidR="00664166" w:rsidRPr="00ED293A" w:rsidRDefault="00664166" w:rsidP="00346A53">
                              <w:pPr>
                                <w:pStyle w:val="Lijstalinea"/>
                                <w:numPr>
                                  <w:ilvl w:val="0"/>
                                  <w:numId w:val="24"/>
                                </w:numPr>
                                <w:ind w:left="284" w:hanging="284"/>
                                <w:rPr>
                                  <w:b/>
                                </w:rPr>
                              </w:pPr>
                              <w:r>
                                <w:t>OS landen</w:t>
                              </w:r>
                            </w:p>
                            <w:p w:rsidR="00664166" w:rsidRDefault="00664166" w:rsidP="00ED293A">
                              <w:pPr>
                                <w:pStyle w:val="Lijstalinea"/>
                                <w:numPr>
                                  <w:ilvl w:val="1"/>
                                  <w:numId w:val="24"/>
                                </w:numPr>
                                <w:ind w:left="426" w:hanging="142"/>
                              </w:pPr>
                              <w:r>
                                <w:t>Verdragen aanpassen</w:t>
                              </w:r>
                            </w:p>
                            <w:p w:rsidR="00664166" w:rsidRPr="00ED293A" w:rsidRDefault="00664166" w:rsidP="00ED293A">
                              <w:pPr>
                                <w:pStyle w:val="Lijstalinea"/>
                                <w:numPr>
                                  <w:ilvl w:val="1"/>
                                  <w:numId w:val="24"/>
                                </w:numPr>
                                <w:ind w:left="426" w:hanging="142"/>
                              </w:pPr>
                              <w:r w:rsidRPr="00DC6187">
                                <w:t>Capaciteitsopbouw</w:t>
                              </w:r>
                              <w:r w:rsidRPr="00ED293A">
                                <w:t xml:space="preserve"> </w:t>
                              </w:r>
                            </w:p>
                          </w:txbxContent>
                        </wps:txbx>
                        <wps:bodyPr rot="0" vert="horz" wrap="square" lIns="91440" tIns="45720" rIns="91440" bIns="45720" anchor="t" anchorCtr="0" upright="1">
                          <a:noAutofit/>
                        </wps:bodyPr>
                      </wps:wsp>
                      <wps:wsp>
                        <wps:cNvPr id="7" name="AutoShape 6"/>
                        <wps:cNvCnPr>
                          <a:cxnSpLocks noChangeShapeType="1"/>
                        </wps:cNvCnPr>
                        <wps:spPr bwMode="auto">
                          <a:xfrm>
                            <a:off x="357210" y="4468360"/>
                            <a:ext cx="5472366" cy="8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SpPr>
                          <a:spLocks noChangeArrowheads="1"/>
                        </wps:cNvSpPr>
                        <wps:spPr bwMode="auto">
                          <a:xfrm>
                            <a:off x="2756433" y="675478"/>
                            <a:ext cx="2297162" cy="1351766"/>
                          </a:xfrm>
                          <a:prstGeom prst="roundRect">
                            <a:avLst>
                              <a:gd name="adj" fmla="val 16667"/>
                            </a:avLst>
                          </a:prstGeom>
                          <a:solidFill>
                            <a:srgbClr val="FFFFFF"/>
                          </a:solidFill>
                          <a:ln w="28575">
                            <a:solidFill>
                              <a:schemeClr val="tx1">
                                <a:lumMod val="100000"/>
                                <a:lumOff val="0"/>
                              </a:schemeClr>
                            </a:solidFill>
                            <a:round/>
                            <a:headEnd/>
                            <a:tailEnd/>
                          </a:ln>
                        </wps:spPr>
                        <wps:txbx>
                          <w:txbxContent>
                            <w:p w:rsidR="00664166" w:rsidRDefault="00664166" w:rsidP="00346A53">
                              <w:r>
                                <w:rPr>
                                  <w:b/>
                                </w:rPr>
                                <w:t xml:space="preserve">3. Misbruik tegengaan, </w:t>
                              </w:r>
                              <w:r>
                                <w:rPr>
                                  <w:b/>
                                </w:rPr>
                                <w:br/>
                              </w:r>
                              <w:r w:rsidRPr="004E5FD5">
                                <w:rPr>
                                  <w:b/>
                                </w:rPr>
                                <w:t xml:space="preserve">    </w:t>
                              </w:r>
                              <w:r w:rsidRPr="00A62506">
                                <w:rPr>
                                  <w:b/>
                                </w:rPr>
                                <w:t>multilatera</w:t>
                              </w:r>
                              <w:r>
                                <w:rPr>
                                  <w:b/>
                                </w:rPr>
                                <w:t xml:space="preserve">al, </w:t>
                              </w:r>
                              <w:r>
                                <w:rPr>
                                  <w:b/>
                                </w:rPr>
                                <w:br/>
                                <w:t xml:space="preserve">    via hard law</w:t>
                              </w:r>
                            </w:p>
                            <w:p w:rsidR="00664166" w:rsidRDefault="00664166" w:rsidP="00346A53">
                              <w:pPr>
                                <w:pStyle w:val="Lijstalinea"/>
                                <w:numPr>
                                  <w:ilvl w:val="0"/>
                                  <w:numId w:val="24"/>
                                </w:numPr>
                                <w:ind w:left="284" w:hanging="284"/>
                              </w:pPr>
                              <w:r>
                                <w:t>Hybrides</w:t>
                              </w:r>
                            </w:p>
                            <w:p w:rsidR="00664166" w:rsidRDefault="00664166" w:rsidP="00346A53">
                              <w:pPr>
                                <w:pStyle w:val="Lijstalinea"/>
                                <w:numPr>
                                  <w:ilvl w:val="0"/>
                                  <w:numId w:val="24"/>
                                </w:numPr>
                                <w:ind w:left="284" w:hanging="284"/>
                              </w:pPr>
                              <w:r>
                                <w:t>Verdragsmisbruik tegengaan</w:t>
                              </w:r>
                            </w:p>
                            <w:p w:rsidR="00664166" w:rsidRDefault="00664166" w:rsidP="00346A53">
                              <w:pPr>
                                <w:pStyle w:val="Lijstalinea"/>
                                <w:numPr>
                                  <w:ilvl w:val="0"/>
                                  <w:numId w:val="24"/>
                                </w:numPr>
                                <w:ind w:left="284" w:hanging="284"/>
                              </w:pPr>
                              <w:r>
                                <w:t>Preferentiële regimes</w:t>
                              </w:r>
                            </w:p>
                            <w:p w:rsidR="00664166" w:rsidRDefault="00664166" w:rsidP="00956C2D">
                              <w:pPr>
                                <w:pStyle w:val="Lijstalinea"/>
                                <w:ind w:left="284"/>
                              </w:pPr>
                            </w:p>
                          </w:txbxContent>
                        </wps:txbx>
                        <wps:bodyPr rot="0" vert="horz" wrap="square" lIns="91440" tIns="45720" rIns="91440" bIns="45720" anchor="t" anchorCtr="0" upright="1">
                          <a:noAutofit/>
                        </wps:bodyPr>
                      </wps:wsp>
                      <wps:wsp>
                        <wps:cNvPr id="9" name="AutoShape 8"/>
                        <wps:cNvSpPr>
                          <a:spLocks noChangeArrowheads="1"/>
                        </wps:cNvSpPr>
                        <wps:spPr bwMode="auto">
                          <a:xfrm>
                            <a:off x="2756433" y="2156832"/>
                            <a:ext cx="2297162" cy="1397932"/>
                          </a:xfrm>
                          <a:prstGeom prst="roundRect">
                            <a:avLst>
                              <a:gd name="adj" fmla="val 16667"/>
                            </a:avLst>
                          </a:prstGeom>
                          <a:solidFill>
                            <a:srgbClr val="FFFFFF"/>
                          </a:solidFill>
                          <a:ln w="28575">
                            <a:solidFill>
                              <a:schemeClr val="tx1">
                                <a:lumMod val="100000"/>
                                <a:lumOff val="0"/>
                              </a:schemeClr>
                            </a:solidFill>
                            <a:round/>
                            <a:headEnd/>
                            <a:tailEnd/>
                          </a:ln>
                        </wps:spPr>
                        <wps:txbx>
                          <w:txbxContent>
                            <w:p w:rsidR="00664166" w:rsidRPr="003762E5" w:rsidRDefault="00664166" w:rsidP="00346A53">
                              <w:pPr>
                                <w:rPr>
                                  <w:b/>
                                </w:rPr>
                              </w:pPr>
                              <w:r>
                                <w:rPr>
                                  <w:b/>
                                </w:rPr>
                                <w:t xml:space="preserve">1. Nederlands beleid uitdragen </w:t>
                              </w:r>
                              <w:r w:rsidRPr="003762E5">
                                <w:rPr>
                                  <w:b/>
                                </w:rPr>
                                <w:t xml:space="preserve"> </w:t>
                              </w:r>
                            </w:p>
                            <w:p w:rsidR="00664166" w:rsidRDefault="00664166" w:rsidP="00346A53">
                              <w:pPr>
                                <w:pStyle w:val="Lijstalinea"/>
                                <w:numPr>
                                  <w:ilvl w:val="0"/>
                                  <w:numId w:val="28"/>
                                </w:numPr>
                                <w:ind w:left="284" w:hanging="284"/>
                              </w:pPr>
                              <w:r>
                                <w:t>Verdragennetwerk</w:t>
                              </w:r>
                            </w:p>
                            <w:p w:rsidR="00664166" w:rsidRDefault="00664166" w:rsidP="00346A53">
                              <w:pPr>
                                <w:pStyle w:val="Lijstalinea"/>
                                <w:numPr>
                                  <w:ilvl w:val="0"/>
                                  <w:numId w:val="28"/>
                                </w:numPr>
                                <w:ind w:left="284" w:hanging="284"/>
                              </w:pPr>
                              <w:r>
                                <w:t>Zekerheid vooraf</w:t>
                              </w:r>
                            </w:p>
                            <w:p w:rsidR="00664166" w:rsidRDefault="00664166" w:rsidP="00346A53">
                              <w:pPr>
                                <w:pStyle w:val="Lijstalinea"/>
                                <w:numPr>
                                  <w:ilvl w:val="0"/>
                                  <w:numId w:val="28"/>
                                </w:numPr>
                                <w:ind w:left="284" w:hanging="284"/>
                              </w:pPr>
                              <w:r>
                                <w:t>Onderling overleg/Arbitrage</w:t>
                              </w:r>
                            </w:p>
                            <w:p w:rsidR="00664166" w:rsidRDefault="00664166" w:rsidP="00346A53">
                              <w:pPr>
                                <w:pStyle w:val="Lijstalinea"/>
                                <w:numPr>
                                  <w:ilvl w:val="0"/>
                                  <w:numId w:val="28"/>
                                </w:numPr>
                                <w:ind w:left="284" w:hanging="284"/>
                              </w:pPr>
                              <w:r>
                                <w:t>Geen bronheffing rente en royalty</w:t>
                              </w:r>
                            </w:p>
                          </w:txbxContent>
                        </wps:txbx>
                        <wps:bodyPr rot="0" vert="horz" wrap="square" lIns="91440" tIns="45720" rIns="91440" bIns="45720" anchor="t" anchorCtr="0" upright="1">
                          <a:noAutofit/>
                        </wps:bodyPr>
                      </wps:wsp>
                      <wps:wsp>
                        <wps:cNvPr id="10" name="AutoShape 9"/>
                        <wps:cNvSpPr>
                          <a:spLocks noChangeArrowheads="1"/>
                        </wps:cNvSpPr>
                        <wps:spPr bwMode="auto">
                          <a:xfrm>
                            <a:off x="0" y="224349"/>
                            <a:ext cx="1116991" cy="341789"/>
                          </a:xfrm>
                          <a:prstGeom prst="flowChartTerminator">
                            <a:avLst/>
                          </a:prstGeom>
                          <a:solidFill>
                            <a:schemeClr val="bg2">
                              <a:lumMod val="100000"/>
                              <a:lumOff val="0"/>
                            </a:schemeClr>
                          </a:solidFill>
                          <a:ln w="9525">
                            <a:solidFill>
                              <a:srgbClr val="000000"/>
                            </a:solidFill>
                            <a:miter lim="800000"/>
                            <a:headEnd/>
                            <a:tailEnd/>
                          </a:ln>
                        </wps:spPr>
                        <wps:txbx>
                          <w:txbxContent>
                            <w:p w:rsidR="00664166" w:rsidRPr="00346A53" w:rsidRDefault="00664166" w:rsidP="00346A53">
                              <w:pPr>
                                <w:rPr>
                                  <w:sz w:val="12"/>
                                  <w:szCs w:val="12"/>
                                </w:rPr>
                              </w:pPr>
                              <w:r w:rsidRPr="00346A53">
                                <w:rPr>
                                  <w:sz w:val="12"/>
                                  <w:szCs w:val="12"/>
                                </w:rPr>
                                <w:t>Risico op misbruik</w:t>
                              </w:r>
                            </w:p>
                          </w:txbxContent>
                        </wps:txbx>
                        <wps:bodyPr rot="0" vert="horz" wrap="square" lIns="91440" tIns="45720" rIns="91440" bIns="45720" anchor="t" anchorCtr="0" upright="1">
                          <a:noAutofit/>
                        </wps:bodyPr>
                      </wps:wsp>
                      <wps:wsp>
                        <wps:cNvPr id="11" name="AutoShape 10"/>
                        <wps:cNvSpPr>
                          <a:spLocks noChangeArrowheads="1"/>
                        </wps:cNvSpPr>
                        <wps:spPr bwMode="auto">
                          <a:xfrm>
                            <a:off x="3170343" y="4328243"/>
                            <a:ext cx="2288252" cy="341789"/>
                          </a:xfrm>
                          <a:prstGeom prst="flowChartTerminator">
                            <a:avLst/>
                          </a:prstGeom>
                          <a:solidFill>
                            <a:schemeClr val="bg2">
                              <a:lumMod val="100000"/>
                              <a:lumOff val="0"/>
                            </a:schemeClr>
                          </a:solidFill>
                          <a:ln w="9525">
                            <a:solidFill>
                              <a:srgbClr val="000000"/>
                            </a:solidFill>
                            <a:miter lim="800000"/>
                            <a:headEnd/>
                            <a:tailEnd/>
                          </a:ln>
                        </wps:spPr>
                        <wps:txbx>
                          <w:txbxContent>
                            <w:p w:rsidR="00664166" w:rsidRPr="00346A53" w:rsidRDefault="00664166" w:rsidP="00346A53">
                              <w:pPr>
                                <w:rPr>
                                  <w:sz w:val="12"/>
                                  <w:szCs w:val="12"/>
                                </w:rPr>
                              </w:pPr>
                              <w:r w:rsidRPr="00346A53">
                                <w:rPr>
                                  <w:sz w:val="12"/>
                                  <w:szCs w:val="12"/>
                                </w:rPr>
                                <w:t xml:space="preserve">Risico op </w:t>
                              </w:r>
                              <w:r>
                                <w:rPr>
                                  <w:sz w:val="12"/>
                                  <w:szCs w:val="12"/>
                                </w:rPr>
                                <w:t>onnodige hinder reële bedrijfsleven</w:t>
                              </w:r>
                            </w:p>
                          </w:txbxContent>
                        </wps:txbx>
                        <wps:bodyPr rot="0" vert="horz" wrap="square" lIns="91440" tIns="45720" rIns="91440" bIns="45720" anchor="t" anchorCtr="0" upright="1">
                          <a:noAutofit/>
                        </wps:bodyPr>
                      </wps:wsp>
                    </wpc:wpc>
                  </a:graphicData>
                </a:graphic>
              </wp:inline>
            </w:drawing>
          </mc:Choice>
          <mc:Fallback>
            <w:pict>
              <v:group id="Papier 2" o:spid="_x0000_s1026" editas="canvas" style="width:773.2pt;height:390.55pt;mso-position-horizontal-relative:char;mso-position-vertical-relative:line" coordsize="98196,4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&#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96;height:4959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3102;width:470;height:446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SS8IAAADaAAAADwAAAGRycy9kb3ducmV2LnhtbESPwW7CMBBE75X6D9ZW4lYcCqqqgIkQ&#10;KhIHOIT2A7b2koTE62AbSP++RkLqcTQzbzSLYrCduJIPjWMFk3EGglg703Cl4Ptr8/oBIkRkg51j&#10;UvBLAYrl89MCc+NuXNL1ECuRIBxyVFDH2OdSBl2TxTB2PXHyjs5bjEn6ShqPtwS3nXzLsndpseG0&#10;UGNP65p0e7hYBe3+54RTv/vU5rwyvgxalzYoNXoZVnMQkYb4H360t0bBDO5X0g2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xSS8IAAADaAAAADwAAAAAAAAAAAAAA&#10;AAChAgAAZHJzL2Rvd25yZXYueG1sUEsFBgAAAAAEAAQA+QAAAJADAAAAAA==&#10;" strokeweight="3pt">
                  <v:stroke endarrow="block"/>
                </v:shape>
                <v:roundrect id="AutoShape 5" o:spid="_x0000_s1029" style="position:absolute;left:5888;top:6754;width:19222;height:287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cxsMA&#10;AADaAAAADwAAAGRycy9kb3ducmV2LnhtbESPQWvCQBSE70L/w/IK3ppNg0gbXUMJBHpQaLXi9Zl9&#10;ZoPZtzG71fTfdwsFj8PMfMMsi9F24kqDbx0reE5SEMS10y03Cr521dMLCB+QNXaOScEPeShWD5Ml&#10;5trd+JOu29CICGGfowITQp9L6WtDFn3ieuLondxgMUQ5NFIPeItw28ksTefSYstxwWBPpaH6vP22&#10;CmzdmUp+zMrjZZ1Wl7DfZNnhVanp4/i2ABFoDPfwf/tdK5jD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PcxsMAAADaAAAADwAAAAAAAAAAAAAAAACYAgAAZHJzL2Rv&#10;d25yZXYueG1sUEsFBgAAAAAEAAQA9QAAAIgDAAAAAA==&#10;" strokecolor="black [3213]" strokeweight="2.25pt">
                  <v:textbox>
                    <w:txbxContent>
                      <w:p w:rsidR="00664166" w:rsidRDefault="00664166" w:rsidP="00346A53">
                        <w:pPr>
                          <w:rPr>
                            <w:b/>
                          </w:rPr>
                        </w:pPr>
                        <w:r>
                          <w:rPr>
                            <w:b/>
                          </w:rPr>
                          <w:t>2. Vooroplopen, initiatieven nemen</w:t>
                        </w:r>
                      </w:p>
                      <w:p w:rsidR="00664166" w:rsidRDefault="00664166" w:rsidP="00346A53">
                        <w:pPr>
                          <w:pStyle w:val="Lijstalinea"/>
                          <w:numPr>
                            <w:ilvl w:val="0"/>
                            <w:numId w:val="24"/>
                          </w:numPr>
                          <w:ind w:left="284" w:hanging="284"/>
                        </w:pPr>
                        <w:r>
                          <w:t>Transparantie</w:t>
                        </w:r>
                      </w:p>
                      <w:p w:rsidR="00664166" w:rsidRDefault="00664166" w:rsidP="00ED293A">
                        <w:pPr>
                          <w:pStyle w:val="Lijstalinea"/>
                          <w:numPr>
                            <w:ilvl w:val="1"/>
                            <w:numId w:val="24"/>
                          </w:numPr>
                          <w:ind w:left="426" w:hanging="142"/>
                        </w:pPr>
                        <w:r>
                          <w:t>Informatie uitwisselen</w:t>
                        </w:r>
                      </w:p>
                      <w:p w:rsidR="00664166" w:rsidRDefault="00664166" w:rsidP="00ED293A">
                        <w:pPr>
                          <w:pStyle w:val="Lijstalinea"/>
                          <w:numPr>
                            <w:ilvl w:val="1"/>
                            <w:numId w:val="24"/>
                          </w:numPr>
                          <w:ind w:left="426" w:hanging="142"/>
                        </w:pPr>
                        <w:r>
                          <w:t>Rulings delen</w:t>
                        </w:r>
                      </w:p>
                      <w:p w:rsidR="00664166" w:rsidRPr="00DC6187" w:rsidRDefault="00664166" w:rsidP="00346A53">
                        <w:pPr>
                          <w:pStyle w:val="Lijstalinea"/>
                          <w:numPr>
                            <w:ilvl w:val="0"/>
                            <w:numId w:val="24"/>
                          </w:numPr>
                          <w:ind w:left="284" w:hanging="284"/>
                          <w:rPr>
                            <w:b/>
                          </w:rPr>
                        </w:pPr>
                        <w:r>
                          <w:t>Transfer pricing</w:t>
                        </w:r>
                      </w:p>
                      <w:p w:rsidR="00664166" w:rsidRPr="00ED293A" w:rsidRDefault="00664166" w:rsidP="00346A53">
                        <w:pPr>
                          <w:pStyle w:val="Lijstalinea"/>
                          <w:numPr>
                            <w:ilvl w:val="0"/>
                            <w:numId w:val="24"/>
                          </w:numPr>
                          <w:ind w:left="284" w:hanging="284"/>
                          <w:rPr>
                            <w:b/>
                          </w:rPr>
                        </w:pPr>
                        <w:r>
                          <w:t>OS landen</w:t>
                        </w:r>
                      </w:p>
                      <w:p w:rsidR="00664166" w:rsidRDefault="00664166" w:rsidP="00ED293A">
                        <w:pPr>
                          <w:pStyle w:val="Lijstalinea"/>
                          <w:numPr>
                            <w:ilvl w:val="1"/>
                            <w:numId w:val="24"/>
                          </w:numPr>
                          <w:ind w:left="426" w:hanging="142"/>
                        </w:pPr>
                        <w:r>
                          <w:t>Verdragen aanpassen</w:t>
                        </w:r>
                      </w:p>
                      <w:p w:rsidR="00664166" w:rsidRPr="00ED293A" w:rsidRDefault="00664166" w:rsidP="00ED293A">
                        <w:pPr>
                          <w:pStyle w:val="Lijstalinea"/>
                          <w:numPr>
                            <w:ilvl w:val="1"/>
                            <w:numId w:val="24"/>
                          </w:numPr>
                          <w:ind w:left="426" w:hanging="142"/>
                        </w:pPr>
                        <w:r w:rsidRPr="00DC6187">
                          <w:t>Capaciteitsopbouw</w:t>
                        </w:r>
                        <w:r w:rsidRPr="00ED293A">
                          <w:t xml:space="preserve"> </w:t>
                        </w:r>
                      </w:p>
                    </w:txbxContent>
                  </v:textbox>
                </v:roundrect>
                <v:shape id="AutoShape 6" o:spid="_x0000_s1030" type="#_x0000_t32" style="position:absolute;left:3572;top:44683;width:5472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NnMIAAADaAAAADwAAAGRycy9kb3ducmV2LnhtbESPQWsCMRSE7wX/Q3hCbzVrD9uyGkUE&#10;xYMoVQ8e326eu4vJy5Kk6/bfm0Khx2FmvmHmy8Ea0ZMPrWMF00kGgrhyuuVaweW8efsEESKyRuOY&#10;FPxQgOVi9DLHQrsHf1F/irVIEA4FKmhi7AopQ9WQxTBxHXHybs5bjEn6WmqPjwS3Rr5nWS4ttpwW&#10;Guxo3VB1P31bBXl1PZpyP1C5XR996XLT68NGqdfxsJqBiDTE//Bfe6cVfMDvlX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ZNnMIAAADaAAAADwAAAAAAAAAAAAAA&#10;AAChAgAAZHJzL2Rvd25yZXYueG1sUEsFBgAAAAAEAAQA+QAAAJADAAAAAA==&#10;" strokeweight="3pt">
                  <v:stroke endarrow="block"/>
                </v:shape>
                <v:roundrect id="AutoShape 7" o:spid="_x0000_s1031" style="position:absolute;left:27564;top:6754;width:22971;height:135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L78A&#10;AADaAAAADwAAAGRycy9kb3ducmV2LnhtbERPy4rCMBTdD/gP4QruxtQiMnaMIkLBhYJP3N5p7jRl&#10;mpvaRK1/bxbCLA/nPVt0thZ3an3lWMFomIAgLpyuuFRwOuafXyB8QNZYOyYFT/KwmPc+Zphp9+A9&#10;3Q+hFDGEfYYKTAhNJqUvDFn0Q9cQR+7XtRZDhG0pdYuPGG5rmSbJRFqsODYYbGhlqPg73KwCW9Qm&#10;l7vx6ue6SfJrOG/T9DJVatDvlt8gAnXhX/x2r7WCuDVeiTd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wO0vvwAAANoAAAAPAAAAAAAAAAAAAAAAAJgCAABkcnMvZG93bnJl&#10;di54bWxQSwUGAAAAAAQABAD1AAAAhAMAAAAA&#10;" strokecolor="black [3213]" strokeweight="2.25pt">
                  <v:textbox>
                    <w:txbxContent>
                      <w:p w:rsidR="00664166" w:rsidRDefault="00664166" w:rsidP="00346A53">
                        <w:r>
                          <w:rPr>
                            <w:b/>
                          </w:rPr>
                          <w:t xml:space="preserve">3. Misbruik tegengaan, </w:t>
                        </w:r>
                        <w:r>
                          <w:rPr>
                            <w:b/>
                          </w:rPr>
                          <w:br/>
                        </w:r>
                        <w:r w:rsidRPr="004E5FD5">
                          <w:rPr>
                            <w:b/>
                          </w:rPr>
                          <w:t xml:space="preserve">    </w:t>
                        </w:r>
                        <w:r w:rsidRPr="00A62506">
                          <w:rPr>
                            <w:b/>
                          </w:rPr>
                          <w:t>multilatera</w:t>
                        </w:r>
                        <w:r>
                          <w:rPr>
                            <w:b/>
                          </w:rPr>
                          <w:t xml:space="preserve">al, </w:t>
                        </w:r>
                        <w:r>
                          <w:rPr>
                            <w:b/>
                          </w:rPr>
                          <w:br/>
                          <w:t xml:space="preserve">    via hard law</w:t>
                        </w:r>
                      </w:p>
                      <w:p w:rsidR="00664166" w:rsidRDefault="00664166" w:rsidP="00346A53">
                        <w:pPr>
                          <w:pStyle w:val="Lijstalinea"/>
                          <w:numPr>
                            <w:ilvl w:val="0"/>
                            <w:numId w:val="24"/>
                          </w:numPr>
                          <w:ind w:left="284" w:hanging="284"/>
                        </w:pPr>
                        <w:r>
                          <w:t>Hybrides</w:t>
                        </w:r>
                      </w:p>
                      <w:p w:rsidR="00664166" w:rsidRDefault="00664166" w:rsidP="00346A53">
                        <w:pPr>
                          <w:pStyle w:val="Lijstalinea"/>
                          <w:numPr>
                            <w:ilvl w:val="0"/>
                            <w:numId w:val="24"/>
                          </w:numPr>
                          <w:ind w:left="284" w:hanging="284"/>
                        </w:pPr>
                        <w:r>
                          <w:t>Verdragsmisbruik tegengaan</w:t>
                        </w:r>
                      </w:p>
                      <w:p w:rsidR="00664166" w:rsidRDefault="00664166" w:rsidP="00346A53">
                        <w:pPr>
                          <w:pStyle w:val="Lijstalinea"/>
                          <w:numPr>
                            <w:ilvl w:val="0"/>
                            <w:numId w:val="24"/>
                          </w:numPr>
                          <w:ind w:left="284" w:hanging="284"/>
                        </w:pPr>
                        <w:r>
                          <w:t>Preferentiële regimes</w:t>
                        </w:r>
                      </w:p>
                      <w:p w:rsidR="00664166" w:rsidRDefault="00664166" w:rsidP="00956C2D">
                        <w:pPr>
                          <w:pStyle w:val="Lijstalinea"/>
                          <w:ind w:left="284"/>
                        </w:pPr>
                      </w:p>
                    </w:txbxContent>
                  </v:textbox>
                </v:roundrect>
                <v:roundrect id="AutoShape 8" o:spid="_x0000_s1032" style="position:absolute;left:27564;top:21568;width:22971;height:13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ItMMA&#10;AADaAAAADwAAAGRycy9kb3ducmV2LnhtbESPzWrDMBCE74W+g9hAb40cU0LtRDYlYOihgfzS69ba&#10;WKbWyrHUxHn7qFDocZiZb5hlOdpOXGjwrWMFs2kCgrh2uuVGwWFfPb+C8AFZY+eYFNzIQ1k8Piwx&#10;1+7KW7rsQiMihH2OCkwIfS6lrw1Z9FPXE0fv5AaLIcqhkXrAa4TbTqZJMpcWW44LBntaGaq/dz9W&#10;ga07U8nNy+rr/JFU53Bcp+lnptTTZHxbgAg0hv/wX/tdK8jg90q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ItMMAAADaAAAADwAAAAAAAAAAAAAAAACYAgAAZHJzL2Rv&#10;d25yZXYueG1sUEsFBgAAAAAEAAQA9QAAAIgDAAAAAA==&#10;" strokecolor="black [3213]" strokeweight="2.25pt">
                  <v:textbox>
                    <w:txbxContent>
                      <w:p w:rsidR="00664166" w:rsidRPr="003762E5" w:rsidRDefault="00664166" w:rsidP="00346A53">
                        <w:pPr>
                          <w:rPr>
                            <w:b/>
                          </w:rPr>
                        </w:pPr>
                        <w:r>
                          <w:rPr>
                            <w:b/>
                          </w:rPr>
                          <w:t xml:space="preserve">1. Nederlands beleid uitdragen </w:t>
                        </w:r>
                        <w:r w:rsidRPr="003762E5">
                          <w:rPr>
                            <w:b/>
                          </w:rPr>
                          <w:t xml:space="preserve"> </w:t>
                        </w:r>
                      </w:p>
                      <w:p w:rsidR="00664166" w:rsidRDefault="00664166" w:rsidP="00346A53">
                        <w:pPr>
                          <w:pStyle w:val="Lijstalinea"/>
                          <w:numPr>
                            <w:ilvl w:val="0"/>
                            <w:numId w:val="28"/>
                          </w:numPr>
                          <w:ind w:left="284" w:hanging="284"/>
                        </w:pPr>
                        <w:r>
                          <w:t>Verdragennetwerk</w:t>
                        </w:r>
                      </w:p>
                      <w:p w:rsidR="00664166" w:rsidRDefault="00664166" w:rsidP="00346A53">
                        <w:pPr>
                          <w:pStyle w:val="Lijstalinea"/>
                          <w:numPr>
                            <w:ilvl w:val="0"/>
                            <w:numId w:val="28"/>
                          </w:numPr>
                          <w:ind w:left="284" w:hanging="284"/>
                        </w:pPr>
                        <w:r>
                          <w:t>Zekerheid vooraf</w:t>
                        </w:r>
                      </w:p>
                      <w:p w:rsidR="00664166" w:rsidRDefault="00664166" w:rsidP="00346A53">
                        <w:pPr>
                          <w:pStyle w:val="Lijstalinea"/>
                          <w:numPr>
                            <w:ilvl w:val="0"/>
                            <w:numId w:val="28"/>
                          </w:numPr>
                          <w:ind w:left="284" w:hanging="284"/>
                        </w:pPr>
                        <w:r>
                          <w:t>Onderling overleg/Arbitrage</w:t>
                        </w:r>
                      </w:p>
                      <w:p w:rsidR="00664166" w:rsidRDefault="00664166" w:rsidP="00346A53">
                        <w:pPr>
                          <w:pStyle w:val="Lijstalinea"/>
                          <w:numPr>
                            <w:ilvl w:val="0"/>
                            <w:numId w:val="28"/>
                          </w:numPr>
                          <w:ind w:left="284" w:hanging="284"/>
                        </w:pPr>
                        <w:r>
                          <w:t>Geen bronheffing rente en royalty</w:t>
                        </w:r>
                      </w:p>
                    </w:txbxContent>
                  </v:textbox>
                </v:roundrect>
                <v:shapetype id="_x0000_t116" coordsize="21600,21600" o:spt="116" path="m3475,qx,10800,3475,21600l18125,21600qx21600,10800,18125,xe">
                  <v:stroke joinstyle="miter"/>
                  <v:path gradientshapeok="t" o:connecttype="rect" textboxrect="1018,3163,20582,18437"/>
                </v:shapetype>
                <v:shape id="AutoShape 9" o:spid="_x0000_s1033" type="#_x0000_t116" style="position:absolute;top:2243;width:11169;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3sMA&#10;AADbAAAADwAAAGRycy9kb3ducmV2LnhtbESPQW/CMAyF75P4D5GRdhspO0yoI1QFNmlHYPsBpjFt&#10;oXFKkpWyXz8fJu1m6z2/93lZjK5TA4XYejYwn2WgiCtvW64NfH2+Py1AxYRssfNMBu4UoVhNHpaY&#10;W3/jPQ2HVCsJ4ZijgSalPtc6Vg05jDPfE4t28sFhkjXU2ga8Sbjr9HOWvWiHLUtDgz1tGqouh29n&#10;oKx+tvd6XLwN3f4U3PG8u67bnTGP07F8BZVoTP/mv+sP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y+3sMAAADbAAAADwAAAAAAAAAAAAAAAACYAgAAZHJzL2Rv&#10;d25yZXYueG1sUEsFBgAAAAAEAAQA9QAAAIgDAAAAAA==&#10;" fillcolor="#eeece1 [3214]">
                  <v:textbox>
                    <w:txbxContent>
                      <w:p w:rsidR="00664166" w:rsidRPr="00346A53" w:rsidRDefault="00664166" w:rsidP="00346A53">
                        <w:pPr>
                          <w:rPr>
                            <w:sz w:val="12"/>
                            <w:szCs w:val="12"/>
                          </w:rPr>
                        </w:pPr>
                        <w:r w:rsidRPr="00346A53">
                          <w:rPr>
                            <w:sz w:val="12"/>
                            <w:szCs w:val="12"/>
                          </w:rPr>
                          <w:t>Risico op misbruik</w:t>
                        </w:r>
                      </w:p>
                    </w:txbxContent>
                  </v:textbox>
                </v:shape>
                <v:shape id="AutoShape 10" o:spid="_x0000_s1034" type="#_x0000_t116" style="position:absolute;left:31703;top:43282;width:2288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bRcEA&#10;AADbAAAADwAAAGRycy9kb3ducmV2LnhtbERPS27CMBDdI3EHa5C6A4cuqiiNQRSo1GWS9gDTeEjS&#10;xuNguyH09DUSUnfz9L6TbyfTi5Gc7ywrWK8SEMS11R03Cj7eX5cpCB+QNfaWScGVPGw381mOmbYX&#10;LmmsQiNiCPsMFbQhDJmUvm7JoF/ZgThyJ+sMhghdI7XDSww3vXxMkidpsOPY0OJA+5bq7+rHKNjV&#10;v4drM6XHsS9Pznx+FeeXrlDqYTHtnkEEmsK/+O5+03H+Gm6/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gG0XBAAAA2wAAAA8AAAAAAAAAAAAAAAAAmAIAAGRycy9kb3du&#10;cmV2LnhtbFBLBQYAAAAABAAEAPUAAACGAwAAAAA=&#10;" fillcolor="#eeece1 [3214]">
                  <v:textbox>
                    <w:txbxContent>
                      <w:p w:rsidR="00664166" w:rsidRPr="00346A53" w:rsidRDefault="00664166" w:rsidP="00346A53">
                        <w:pPr>
                          <w:rPr>
                            <w:sz w:val="12"/>
                            <w:szCs w:val="12"/>
                          </w:rPr>
                        </w:pPr>
                        <w:r w:rsidRPr="00346A53">
                          <w:rPr>
                            <w:sz w:val="12"/>
                            <w:szCs w:val="12"/>
                          </w:rPr>
                          <w:t xml:space="preserve">Risico op </w:t>
                        </w:r>
                        <w:r>
                          <w:rPr>
                            <w:sz w:val="12"/>
                            <w:szCs w:val="12"/>
                          </w:rPr>
                          <w:t>onnodige hinder reële bedrijfsleven</w:t>
                        </w:r>
                      </w:p>
                    </w:txbxContent>
                  </v:textbox>
                </v:shape>
                <w10:anchorlock/>
              </v:group>
            </w:pict>
          </mc:Fallback>
        </mc:AlternateContent>
      </w:r>
    </w:p>
    <w:p w:rsidR="007B3BAD" w:rsidRDefault="007B3BAD" w:rsidP="000C65C8">
      <w:pPr>
        <w:pStyle w:val="Huisstijl-Aanhef"/>
      </w:pPr>
      <w:r>
        <w:t>In dit schema staan in blok 1 de sterke punten van het Nede</w:t>
      </w:r>
      <w:r w:rsidR="0004001D">
        <w:t>r</w:t>
      </w:r>
      <w:r>
        <w:t>landse belastingsysteem.</w:t>
      </w:r>
      <w:r w:rsidR="002F6B32">
        <w:t xml:space="preserve"> Dit zijn aspecten die op zichzelf niet uitnodigen tot misbruik, maar waar roekeloos ingrijpen wel tot grote schade voor reële bedrijven zal leiden.</w:t>
      </w:r>
      <w:r>
        <w:t xml:space="preserve"> D</w:t>
      </w:r>
      <w:r w:rsidR="002F6B32">
        <w:t xml:space="preserve">eze sterktes </w:t>
      </w:r>
      <w:r>
        <w:t>wil Nederland in de internationale discussie uitdragen en de</w:t>
      </w:r>
      <w:r w:rsidR="002F6B32">
        <w:t>ze</w:t>
      </w:r>
      <w:r>
        <w:t xml:space="preserve"> zal Nederland niet opgeven.</w:t>
      </w:r>
      <w:r w:rsidR="002F6B32">
        <w:t xml:space="preserve"> </w:t>
      </w:r>
    </w:p>
    <w:p w:rsidR="007B3BAD" w:rsidRDefault="007B3BAD" w:rsidP="000C65C8">
      <w:pPr>
        <w:pStyle w:val="Huisstijl-Aanhef"/>
      </w:pPr>
      <w:r>
        <w:t>In blok 2 staan maatregelen die belastingontwijking tegengaan, die goed passen in het Nederlandse systeem, waar we niet hoeven te wachten op internationale stappen en waar Nederland voorop kan lopen.</w:t>
      </w:r>
    </w:p>
    <w:p w:rsidR="007B3BAD" w:rsidRDefault="007B3BAD" w:rsidP="000C65C8">
      <w:pPr>
        <w:pStyle w:val="Huisstijl-Aanhef"/>
      </w:pPr>
      <w:r>
        <w:t>In Blok3 worden een aantal complexe vraagstukken genoemd, die alleen in internationaal verband kunnen worden opgelost en die het risico in zich dragen dat het reële bedrijfsleven</w:t>
      </w:r>
      <w:r w:rsidR="009F7E17">
        <w:t xml:space="preserve"> er onnodig hinder van ondervindt.</w:t>
      </w:r>
    </w:p>
    <w:p w:rsidR="007B3BAD" w:rsidRDefault="007B3BAD" w:rsidP="000C65C8">
      <w:pPr>
        <w:pStyle w:val="Huisstijl-Aanhef"/>
      </w:pPr>
    </w:p>
    <w:p w:rsidR="002F6B32" w:rsidRDefault="002F6B32">
      <w:pPr>
        <w:spacing w:line="240" w:lineRule="auto"/>
        <w:rPr>
          <w:kern w:val="3"/>
          <w:lang w:eastAsia="zh-CN"/>
        </w:rPr>
      </w:pPr>
      <w:r>
        <w:br w:type="page"/>
      </w:r>
    </w:p>
    <w:p w:rsidR="002F6B32" w:rsidRDefault="002F6B32" w:rsidP="000C65C8">
      <w:pPr>
        <w:pStyle w:val="Huisstijl-Aanhef"/>
      </w:pPr>
    </w:p>
    <w:p w:rsidR="009F7E17" w:rsidRDefault="009F7E17" w:rsidP="000C65C8">
      <w:pPr>
        <w:pStyle w:val="Huisstijl-Aanhef"/>
      </w:pPr>
      <w:r>
        <w:t>Ik zal de keuze voor de plaatsing in dit schema hieronder toelichten.</w:t>
      </w:r>
    </w:p>
    <w:p w:rsidR="009F7E17" w:rsidRDefault="009F7E17">
      <w:pPr>
        <w:spacing w:line="240" w:lineRule="auto"/>
        <w:rPr>
          <w:rFonts w:eastAsia="Arial Unicode MS" w:cs="Arial Unicode MS"/>
          <w:color w:val="000000"/>
          <w:bdr w:val="nil"/>
        </w:rPr>
      </w:pPr>
    </w:p>
    <w:p w:rsidR="007B3BAD" w:rsidRDefault="007B3BAD" w:rsidP="00956C2D">
      <w:pPr>
        <w:pStyle w:val="Hoofdtekst"/>
        <w:ind w:left="567"/>
        <w:rPr>
          <w:rFonts w:ascii="Verdana" w:hAnsi="Verdana"/>
          <w:sz w:val="18"/>
          <w:szCs w:val="18"/>
        </w:rPr>
      </w:pPr>
    </w:p>
    <w:p w:rsidR="00C379C1" w:rsidRPr="00727B2C" w:rsidRDefault="001F1F2B" w:rsidP="00956C2D">
      <w:pPr>
        <w:pStyle w:val="Hoofdtekst"/>
        <w:ind w:left="567"/>
        <w:rPr>
          <w:rFonts w:ascii="Verdana" w:hAnsi="Verdana"/>
          <w:sz w:val="18"/>
          <w:szCs w:val="18"/>
        </w:rPr>
      </w:pPr>
      <w:r w:rsidRPr="00727B2C">
        <w:rPr>
          <w:rFonts w:ascii="Verdana" w:hAnsi="Verdana"/>
          <w:sz w:val="18"/>
          <w:szCs w:val="18"/>
        </w:rPr>
        <w:t xml:space="preserve">1. </w:t>
      </w:r>
      <w:r w:rsidR="00C379C1" w:rsidRPr="00727B2C">
        <w:rPr>
          <w:b/>
          <w:sz w:val="18"/>
          <w:szCs w:val="18"/>
        </w:rPr>
        <w:t>Nederlands beleid uitdragen</w:t>
      </w:r>
      <w:r w:rsidR="00C379C1" w:rsidRPr="00727B2C">
        <w:rPr>
          <w:rFonts w:ascii="Verdana" w:hAnsi="Verdana"/>
          <w:sz w:val="18"/>
          <w:szCs w:val="18"/>
        </w:rPr>
        <w:t xml:space="preserve"> </w:t>
      </w:r>
    </w:p>
    <w:p w:rsidR="001F1F2B" w:rsidRPr="000E0C57" w:rsidRDefault="001F1F2B" w:rsidP="000C65C8">
      <w:pPr>
        <w:pStyle w:val="Huisstijl-Aanhef"/>
        <w:ind w:left="567"/>
      </w:pPr>
      <w:r w:rsidRPr="000E0C57">
        <w:t>Allereerst wil het kabinet de sterktes van ons belastingstelsel</w:t>
      </w:r>
      <w:r w:rsidR="00A62506" w:rsidRPr="00A62506">
        <w:t xml:space="preserve"> </w:t>
      </w:r>
      <w:r w:rsidR="00A62506" w:rsidRPr="000E0C57">
        <w:t>stevig uitdragen</w:t>
      </w:r>
      <w:r w:rsidR="00A62506">
        <w:t>.</w:t>
      </w:r>
      <w:r w:rsidRPr="000E0C57">
        <w:t xml:space="preserve"> </w:t>
      </w:r>
      <w:r w:rsidR="00A62506">
        <w:t>Het gaat dan om</w:t>
      </w:r>
      <w:r w:rsidRPr="000E0C57">
        <w:t xml:space="preserve"> zekerheid vooraf, horizontaal toezicht, een uitgebreid verdragennetwerk en het genoemde beginsel van een gelijke behandeling van nationale en grensoverschrijdende ondernemingen. Naar de overtuiging van het kabinet dragen deze elementen bij aan goede handelsrelaties tussen landen, effectief toezicht en eerlijk zaken doen</w:t>
      </w:r>
      <w:r w:rsidR="00F47967" w:rsidRPr="00F47967">
        <w:t xml:space="preserve"> </w:t>
      </w:r>
      <w:r w:rsidR="00F47967">
        <w:t>en zou het goed zijn als alle landen deze elementen zouden hanteren</w:t>
      </w:r>
      <w:r w:rsidRPr="000E0C57">
        <w:t xml:space="preserve">. </w:t>
      </w:r>
      <w:r w:rsidRPr="001B6EAF">
        <w:t>Tegelijkertijd zal het kabinet uitdragen geen afstand te doen van deze principes.</w:t>
      </w:r>
      <w:r w:rsidRPr="000E0C57">
        <w:t xml:space="preserve"> </w:t>
      </w:r>
    </w:p>
    <w:p w:rsidR="001F1F2B" w:rsidRPr="000E0C57" w:rsidRDefault="001F1F2B" w:rsidP="001F1F2B">
      <w:pPr>
        <w:pStyle w:val="Hoofdtekst"/>
        <w:rPr>
          <w:rFonts w:ascii="Verdana" w:hAnsi="Verdana"/>
          <w:sz w:val="18"/>
          <w:szCs w:val="18"/>
        </w:rPr>
      </w:pPr>
    </w:p>
    <w:p w:rsidR="0089748D" w:rsidRPr="00727B2C" w:rsidRDefault="001F1F2B" w:rsidP="00956C2D">
      <w:pPr>
        <w:pStyle w:val="Hoofdtekst"/>
        <w:ind w:left="567"/>
        <w:rPr>
          <w:b/>
          <w:sz w:val="18"/>
          <w:szCs w:val="18"/>
        </w:rPr>
      </w:pPr>
      <w:r w:rsidRPr="00727B2C">
        <w:rPr>
          <w:rFonts w:ascii="Verdana" w:hAnsi="Verdana"/>
          <w:sz w:val="18"/>
          <w:szCs w:val="18"/>
        </w:rPr>
        <w:t xml:space="preserve">2. </w:t>
      </w:r>
      <w:r w:rsidR="00C379C1" w:rsidRPr="00727B2C">
        <w:rPr>
          <w:b/>
          <w:sz w:val="18"/>
          <w:szCs w:val="18"/>
        </w:rPr>
        <w:t xml:space="preserve">Vooroplopen, </w:t>
      </w:r>
      <w:r w:rsidR="0071114E">
        <w:rPr>
          <w:b/>
          <w:sz w:val="18"/>
          <w:szCs w:val="18"/>
        </w:rPr>
        <w:t>initiatieven nemen</w:t>
      </w:r>
      <w:r w:rsidR="00C379C1" w:rsidRPr="00727B2C">
        <w:rPr>
          <w:b/>
          <w:sz w:val="18"/>
          <w:szCs w:val="18"/>
        </w:rPr>
        <w:t xml:space="preserve"> </w:t>
      </w:r>
    </w:p>
    <w:p w:rsidR="001F1F2B" w:rsidRPr="000E0C57" w:rsidRDefault="001F1F2B" w:rsidP="000C65C8">
      <w:pPr>
        <w:pStyle w:val="Huisstijl-Aanhef"/>
        <w:ind w:left="567"/>
      </w:pPr>
      <w:r w:rsidRPr="000E0C57">
        <w:t xml:space="preserve">Daar bovenop ambieert het kabinet een voortrekkersrol voor Nederland op een aantal terreinen. Zo ziet het kabinet transparantie en automatische uitwisseling van gegevens tussen belastingdiensten als hét belangrijkste wapen tegen belastingontwijking. De inzet op transparantie past ook goed in de Nederlandse cultuur van openheid. Alleen door transparantie kunnen agressieve structuren worden ontmaskerd. </w:t>
      </w:r>
      <w:r w:rsidR="004F49C3" w:rsidRPr="000E0C57">
        <w:t xml:space="preserve">Alleen de juiste informatie stelt andere </w:t>
      </w:r>
      <w:r w:rsidR="00F47967">
        <w:t>landen</w:t>
      </w:r>
      <w:r w:rsidR="004F49C3" w:rsidRPr="000E0C57">
        <w:t xml:space="preserve"> - hetzij Portugal, Griekenland of </w:t>
      </w:r>
      <w:r w:rsidR="00F47967">
        <w:t>w</w:t>
      </w:r>
      <w:r w:rsidR="004F49C3" w:rsidRPr="000E0C57">
        <w:t>elke ander</w:t>
      </w:r>
      <w:r w:rsidR="00F47967">
        <w:t xml:space="preserve"> land ook</w:t>
      </w:r>
      <w:r w:rsidR="004F49C3" w:rsidRPr="000E0C57">
        <w:t xml:space="preserve"> - in staat </w:t>
      </w:r>
      <w:r w:rsidR="004F49C3">
        <w:t>belastingontwijking op de meest aangewezen plaats – aan de bron- aan te pakken.</w:t>
      </w:r>
    </w:p>
    <w:p w:rsidR="001F1F2B" w:rsidRPr="000E0C57" w:rsidRDefault="001F1F2B" w:rsidP="000C65C8">
      <w:pPr>
        <w:pStyle w:val="Huisstijl-Aanhef"/>
        <w:ind w:left="567"/>
      </w:pPr>
      <w:r w:rsidRPr="000E0C57">
        <w:t xml:space="preserve">Zeer binnenkort tekent Nederland met Duitsland een overeenkomst om met </w:t>
      </w:r>
      <w:r w:rsidR="004B2AB5">
        <w:t xml:space="preserve">wederzijdse </w:t>
      </w:r>
      <w:r w:rsidRPr="000E0C57">
        <w:t xml:space="preserve">automatische gegevensuitwisseling </w:t>
      </w:r>
      <w:r w:rsidR="003B2BEC">
        <w:t xml:space="preserve">over rulings </w:t>
      </w:r>
      <w:r w:rsidRPr="000E0C57">
        <w:t>te beginnen tussen de belastingdiensten van de twee landen</w:t>
      </w:r>
      <w:r w:rsidR="009B704F">
        <w:t>. Dit gebeurt</w:t>
      </w:r>
      <w:r w:rsidRPr="000E0C57">
        <w:t xml:space="preserve"> nog voordat hierover in Europa overeenstemming bestaat. Het kabinet wil zich stevig inzetten voor een spoedige overeenstemming over de automatische uitwisseling van gegevens over rulings tussen alle lidstaten, liefst al tijdens het Luxemburgse voorzitterschap, maar anders onder het Nederlandse. </w:t>
      </w:r>
    </w:p>
    <w:p w:rsidR="001F1F2B" w:rsidRDefault="001F1F2B" w:rsidP="000C65C8">
      <w:pPr>
        <w:pStyle w:val="Huisstijl-Aanhef"/>
        <w:ind w:left="567"/>
      </w:pPr>
      <w:r w:rsidRPr="000E0C57">
        <w:t>Ook op andere terreinen ambieert het kabinet voor Nederland een voortrekkersrol. Zo zijn nu 23 ontwikkelingslanden benaderd om het belastingverdrag met Nederland aan te vullen met anti-misbruikmaatregelen en gunstige bronheffingen.</w:t>
      </w:r>
      <w:r w:rsidR="00031559" w:rsidRPr="00031559">
        <w:t xml:space="preserve"> Met vijf landen is het verdrag inmiddels geheel of gedeeltelijk heronderhandeld of zelfs ondertekend. Met verschillende landen lopen gesprekken of zijn er contacten gelegd om dergelijke gesprekken te plannen. Ook in gesprekken met landen die niet tot deze groep behoren, zet Nederland standaard in op het opnemen van anti-misbruikbepalingen</w:t>
      </w:r>
      <w:r w:rsidR="00950589">
        <w:t>.</w:t>
      </w:r>
      <w:r w:rsidRPr="000E0C57">
        <w:t xml:space="preserve"> </w:t>
      </w:r>
      <w:r w:rsidR="00A62506">
        <w:t xml:space="preserve">Nederland speelt ook een vooraanstaande rol bij </w:t>
      </w:r>
      <w:r w:rsidR="004F49C3">
        <w:t>het</w:t>
      </w:r>
      <w:r w:rsidR="00A62506">
        <w:t xml:space="preserve"> verzorgen van trainingen en opleidingen in ontwikkelingslanden. </w:t>
      </w:r>
    </w:p>
    <w:p w:rsidR="001B6EAF" w:rsidRPr="000E0C57" w:rsidRDefault="001B6EAF" w:rsidP="00031559">
      <w:pPr>
        <w:pStyle w:val="Hoofdtekst"/>
        <w:ind w:left="567"/>
        <w:rPr>
          <w:rFonts w:ascii="Verdana" w:hAnsi="Verdana"/>
          <w:sz w:val="18"/>
          <w:szCs w:val="18"/>
        </w:rPr>
      </w:pPr>
    </w:p>
    <w:p w:rsidR="0089748D" w:rsidRPr="00727B2C" w:rsidRDefault="001F1F2B" w:rsidP="00956C2D">
      <w:pPr>
        <w:pStyle w:val="Hoofdtekst"/>
        <w:ind w:left="567"/>
        <w:rPr>
          <w:rFonts w:ascii="Verdana" w:hAnsi="Verdana"/>
          <w:sz w:val="18"/>
          <w:szCs w:val="18"/>
        </w:rPr>
      </w:pPr>
      <w:r w:rsidRPr="00727B2C">
        <w:rPr>
          <w:rFonts w:ascii="Verdana" w:hAnsi="Verdana"/>
          <w:sz w:val="18"/>
          <w:szCs w:val="18"/>
        </w:rPr>
        <w:t xml:space="preserve">3. </w:t>
      </w:r>
      <w:r w:rsidR="0089748D" w:rsidRPr="00727B2C">
        <w:rPr>
          <w:b/>
          <w:sz w:val="18"/>
          <w:szCs w:val="18"/>
        </w:rPr>
        <w:t>Misbruik tegengaan, multilateraal, via hard law</w:t>
      </w:r>
      <w:r w:rsidR="0089748D" w:rsidRPr="00727B2C">
        <w:rPr>
          <w:rFonts w:ascii="Verdana" w:hAnsi="Verdana"/>
          <w:sz w:val="18"/>
          <w:szCs w:val="18"/>
        </w:rPr>
        <w:t xml:space="preserve"> </w:t>
      </w:r>
    </w:p>
    <w:p w:rsidR="003B2BEC" w:rsidRDefault="001F1F2B" w:rsidP="000C65C8">
      <w:pPr>
        <w:pStyle w:val="Huisstijl-Aanhef"/>
        <w:ind w:left="567"/>
      </w:pPr>
      <w:r w:rsidRPr="000E0C57">
        <w:t>Ten slotte spelen verschillende dossiers</w:t>
      </w:r>
      <w:r w:rsidRPr="009E3C76">
        <w:t xml:space="preserve">, </w:t>
      </w:r>
      <w:r w:rsidR="003B2BEC" w:rsidRPr="009E3C76">
        <w:t xml:space="preserve">waar grote verschillen </w:t>
      </w:r>
      <w:r w:rsidR="009E3C76" w:rsidRPr="009E3C76">
        <w:t xml:space="preserve">in fiscale stelsels tot een </w:t>
      </w:r>
      <w:r w:rsidRPr="000E0C57">
        <w:t xml:space="preserve">wezenlijk risico op agressieve belastingplanning </w:t>
      </w:r>
      <w:r w:rsidR="009E3C76">
        <w:t xml:space="preserve">hebben geleid en waar een onjuiste maatvoering van internationale maatregelen grote gevolgen kan hebben </w:t>
      </w:r>
      <w:r w:rsidR="009E3C76">
        <w:lastRenderedPageBreak/>
        <w:t>voor internationale ondernemingen</w:t>
      </w:r>
      <w:r w:rsidR="009B704F">
        <w:t xml:space="preserve"> (</w:t>
      </w:r>
      <w:r w:rsidR="009E3C76">
        <w:t>ook in Nederland</w:t>
      </w:r>
      <w:r w:rsidR="009B704F">
        <w:t>)</w:t>
      </w:r>
      <w:r w:rsidRPr="000E0C57">
        <w:t xml:space="preserve">. </w:t>
      </w:r>
      <w:r w:rsidR="003B2BEC">
        <w:t>Ik denk aan hybride mismatches, verdragsmisbruik en de ruimte die landen houden voor preferentiële regimes.</w:t>
      </w:r>
      <w:r w:rsidR="00F47967" w:rsidRPr="00F47967">
        <w:t xml:space="preserve"> </w:t>
      </w:r>
      <w:r w:rsidR="00F47967">
        <w:t>Nederland werkt in dergelijke dossiers actief mee aan oplossingen, maar de oplossing moet dan wel echt een oplossing zijn voor het geconstateerde probleem</w:t>
      </w:r>
    </w:p>
    <w:p w:rsidR="001F1F2B" w:rsidRPr="000E0C57" w:rsidRDefault="001F1F2B" w:rsidP="000C65C8">
      <w:pPr>
        <w:pStyle w:val="Huisstijl-Aanhef"/>
        <w:ind w:left="567"/>
      </w:pPr>
      <w:r w:rsidRPr="000E0C57">
        <w:t xml:space="preserve">Het kabinet zet </w:t>
      </w:r>
      <w:r w:rsidR="003B2BEC">
        <w:t>hier</w:t>
      </w:r>
      <w:r w:rsidR="0089748D">
        <w:t>bij</w:t>
      </w:r>
      <w:r w:rsidR="003B2BEC">
        <w:t xml:space="preserve"> </w:t>
      </w:r>
      <w:r w:rsidRPr="000E0C57">
        <w:t>in op een multilaterale aanpak via anti</w:t>
      </w:r>
      <w:r w:rsidR="00950589">
        <w:t>-</w:t>
      </w:r>
      <w:r w:rsidRPr="000E0C57">
        <w:t xml:space="preserve">misbruikmaatregelen of </w:t>
      </w:r>
      <w:r w:rsidR="00D4676B">
        <w:t>coördinatie</w:t>
      </w:r>
      <w:r w:rsidRPr="000E0C57">
        <w:t xml:space="preserve"> op punten waar misbruik </w:t>
      </w:r>
      <w:r w:rsidR="003B2BEC">
        <w:t>dreigt</w:t>
      </w:r>
      <w:r w:rsidRPr="000E0C57">
        <w:t xml:space="preserve">. </w:t>
      </w:r>
      <w:r w:rsidR="0089748D">
        <w:t xml:space="preserve">Een voorbeeld daarvan zijn de maatregelen ter bestrijding van hybride mismatches die in de gewijzigde Moeder-Dochterrichtlijn zijn opgenomen. </w:t>
      </w:r>
      <w:r w:rsidRPr="000E0C57">
        <w:t xml:space="preserve">Het kabinet geeft geen steun aan 'lompe' maatregelen die, door </w:t>
      </w:r>
      <w:r w:rsidR="003B2BEC">
        <w:t xml:space="preserve">gebrek aan </w:t>
      </w:r>
      <w:r w:rsidRPr="000E0C57">
        <w:t>helderheid of</w:t>
      </w:r>
      <w:r w:rsidR="003B2BEC">
        <w:t xml:space="preserve"> door</w:t>
      </w:r>
      <w:r w:rsidRPr="000E0C57">
        <w:t xml:space="preserve"> een te beperkte afbakening, een dam opwerpen tegen reële activiteiten, of die een ongelijk speelveld creëren. </w:t>
      </w:r>
      <w:r w:rsidR="0089748D">
        <w:t xml:space="preserve">Zo zet het kabinet zich ervoor in om ruimte te houden om nationaal een preferentieel regime voor innovatieve werkzaamheden te blijven hanteren dat breder toegankelijk </w:t>
      </w:r>
      <w:r w:rsidR="00BF7386">
        <w:t xml:space="preserve">is </w:t>
      </w:r>
      <w:r w:rsidR="0089748D">
        <w:t xml:space="preserve">dan uitsluitend voor grote bedrijven met gepatenteerde uitvindingen. </w:t>
      </w:r>
      <w:r w:rsidR="0089748D">
        <w:br/>
      </w:r>
      <w:r w:rsidRPr="000E0C57">
        <w:t xml:space="preserve">Het kabinet wil met precisie, op basis van de juiste informatie, vanuit een gelijkwaardige dialoog tussen grote en kleine landen, ingrijpen waar </w:t>
      </w:r>
      <w:r w:rsidR="004F49C3" w:rsidRPr="000E0C57">
        <w:t>het</w:t>
      </w:r>
      <w:r w:rsidRPr="000E0C57">
        <w:t xml:space="preserve"> misbruik zich voordoet. Wij hechten daarbij aan vastlegging in 'hard law'</w:t>
      </w:r>
      <w:r w:rsidR="00D4676B">
        <w:t>. Dat zorgt voor een gelijk speelveld en voor</w:t>
      </w:r>
      <w:r w:rsidRPr="000E0C57">
        <w:t xml:space="preserve">duidelijkheid vooraf. </w:t>
      </w:r>
    </w:p>
    <w:p w:rsidR="001F1F2B" w:rsidRPr="000E0C57" w:rsidRDefault="001F1F2B" w:rsidP="000C65C8">
      <w:pPr>
        <w:pStyle w:val="Huisstijl-Aanhef"/>
        <w:ind w:left="567"/>
      </w:pPr>
      <w:r w:rsidRPr="000E0C57">
        <w:t xml:space="preserve">Het kabinet hanteert voor de verschillende onderwerpen een duidelijke inzet. Zo geeft Nederland steun aan specifieke maatregelen en </w:t>
      </w:r>
      <w:r w:rsidR="00D4676B">
        <w:t>coördinatie</w:t>
      </w:r>
      <w:r w:rsidRPr="000E0C57">
        <w:t xml:space="preserve"> om ontwijking van winstbelasting te voorkomen, maar is het kabinet niet bereid een algeheel geharmoniseerde winstgrondslag te omarmen of via consolidatie een herverdeling van winsten over landen te accepteren, met dramatische gevolgen voor de Nederlandse economie</w:t>
      </w:r>
      <w:r w:rsidR="00950589">
        <w:t>.</w:t>
      </w:r>
      <w:r w:rsidRPr="000E0C57">
        <w:t xml:space="preserve"> </w:t>
      </w:r>
    </w:p>
    <w:p w:rsidR="00950589" w:rsidRDefault="001F1F2B" w:rsidP="000C65C8">
      <w:pPr>
        <w:pStyle w:val="Huisstijl-Aanhef"/>
      </w:pPr>
      <w:r w:rsidRPr="000E0C57">
        <w:t>Deze discussies spelen zich voornamelijk af in OESO-verband, binnen het BEPS-project</w:t>
      </w:r>
      <w:r w:rsidR="00E35D9D">
        <w:t>, dat naar verwachting in het najaar met een eindrapport zal komen. Maar ook in Europees verband zijn er de nodige initiatieven</w:t>
      </w:r>
      <w:r w:rsidRPr="000E0C57">
        <w:t xml:space="preserve">. </w:t>
      </w:r>
      <w:r w:rsidR="00E35D9D">
        <w:t xml:space="preserve">Zo zal </w:t>
      </w:r>
      <w:r w:rsidR="00E35D9D" w:rsidRPr="00E35D9D">
        <w:t>De Europese Commissie op 17 juni een actieplan lanceren met het doel ook</w:t>
      </w:r>
      <w:r w:rsidR="009B704F">
        <w:t xml:space="preserve"> binnen</w:t>
      </w:r>
      <w:r w:rsidR="00E35D9D" w:rsidRPr="00E35D9D">
        <w:t xml:space="preserve"> de Europese Unie over dit thema verder met elkaar in gesprek te gaan.</w:t>
      </w:r>
      <w:r w:rsidR="00E35D9D">
        <w:t xml:space="preserve"> </w:t>
      </w:r>
      <w:r w:rsidRPr="000E0C57">
        <w:t>Het kabinet heeft vertrouwen in de zorgvuldigheid, de onpartijdigheid en de diepgang van deze discussies. Nederland levert hier</w:t>
      </w:r>
      <w:r w:rsidR="009B704F">
        <w:t>in</w:t>
      </w:r>
      <w:r w:rsidRPr="000E0C57">
        <w:t xml:space="preserve"> een actieve, oplossingsgerichte bijdrage. Het is wezenlijk dat via d</w:t>
      </w:r>
      <w:r w:rsidR="00864992">
        <w:t>eze</w:t>
      </w:r>
      <w:r w:rsidRPr="000E0C57">
        <w:t xml:space="preserve"> gremi</w:t>
      </w:r>
      <w:r w:rsidR="00864992">
        <w:t>a</w:t>
      </w:r>
      <w:r w:rsidRPr="000E0C57">
        <w:t xml:space="preserve"> gezamenlijke stappen worden gezet</w:t>
      </w:r>
      <w:r w:rsidR="00930292">
        <w:t>. V</w:t>
      </w:r>
      <w:r w:rsidRPr="000E0C57">
        <w:t xml:space="preserve">erschillen tussen stelsels van </w:t>
      </w:r>
      <w:r w:rsidR="003B2BEC">
        <w:t>betrokken</w:t>
      </w:r>
      <w:r w:rsidRPr="000E0C57">
        <w:t xml:space="preserve"> landen </w:t>
      </w:r>
      <w:r w:rsidR="00930292">
        <w:t xml:space="preserve">kunnen niet </w:t>
      </w:r>
      <w:r w:rsidRPr="000E0C57">
        <w:t xml:space="preserve">eenzijdig </w:t>
      </w:r>
      <w:r w:rsidR="00930292">
        <w:t xml:space="preserve">worden weggenomen en maatregelen zijn alleen effectief wanneer alle landen er achter staan en zich er aan houden </w:t>
      </w:r>
      <w:r w:rsidRPr="000E0C57">
        <w:t>.</w:t>
      </w:r>
      <w:r w:rsidR="00E35D9D" w:rsidRPr="00E35D9D">
        <w:t xml:space="preserve"> </w:t>
      </w:r>
    </w:p>
    <w:p w:rsidR="001F1F2B" w:rsidRDefault="00E35D9D" w:rsidP="000C65C8">
      <w:pPr>
        <w:pStyle w:val="Huisstijl-Aanhef"/>
      </w:pPr>
      <w:r w:rsidRPr="00E35D9D">
        <w:t xml:space="preserve">Nederland vindt het </w:t>
      </w:r>
      <w:r w:rsidR="00385493">
        <w:t xml:space="preserve">verder </w:t>
      </w:r>
      <w:r w:rsidRPr="00E35D9D">
        <w:t>belangrijk dat de stem van ontwikkelingslanden in deze discussies ook wordt gehoord. Wij steunen initiatieven op dit terrein, bijvoorbeeld door het financieel mogelijk te maken voor een kopgroep van ontwikkelingslanden om aan de BEPS-discussies deel te nemen</w:t>
      </w:r>
    </w:p>
    <w:p w:rsidR="001F1F2B" w:rsidRPr="000E0C57" w:rsidRDefault="001F1F2B" w:rsidP="000C65C8">
      <w:pPr>
        <w:pStyle w:val="Huisstijl-Aanhef"/>
      </w:pPr>
      <w:r w:rsidRPr="000E0C57">
        <w:t xml:space="preserve">Waar ons stelsel moet worden aangepast op basis van multilaterale overeenstemming, doet het kabinet voorstellen voor wetswijziging aan uw Kamer. Als aanpassingen op één of andere wijze een relatieve verslechtering van ons vestigingsklimaat zouden betekenen, dan komt het kabinet met voorstellen om dat op een andere manier te compenseren. </w:t>
      </w:r>
    </w:p>
    <w:p w:rsidR="002F6B32" w:rsidRDefault="002F6B32">
      <w:pPr>
        <w:spacing w:line="240" w:lineRule="auto"/>
        <w:rPr>
          <w:kern w:val="3"/>
          <w:lang w:eastAsia="zh-CN"/>
        </w:rPr>
      </w:pPr>
      <w:r>
        <w:br w:type="page"/>
      </w:r>
    </w:p>
    <w:p w:rsidR="009F7E17" w:rsidRDefault="009F7E17" w:rsidP="000C65C8">
      <w:pPr>
        <w:pStyle w:val="Huisstijl-Aanhef"/>
      </w:pPr>
      <w:r>
        <w:lastRenderedPageBreak/>
        <w:t xml:space="preserve">Naar de verwachting van het kabinet blijft Nederland met de hierboven uitgedragen inzet een magneet voor innovatieve activiteiten en voor hoofdkantoren, met reële hoogwaardige werkgelegenheid. Tegelijkertijd zullen kunstmatige structuren </w:t>
      </w:r>
      <w:r w:rsidR="002F6B32">
        <w:t>gaandeweg uitsterven</w:t>
      </w:r>
      <w:r>
        <w:t>.</w:t>
      </w:r>
    </w:p>
    <w:p w:rsidR="00E4663B" w:rsidRDefault="00E4663B" w:rsidP="00BE7046">
      <w:pPr>
        <w:spacing w:before="240" w:after="120" w:line="260" w:lineRule="exact"/>
      </w:pPr>
    </w:p>
    <w:p w:rsidR="00BE7046" w:rsidRPr="00AE2847" w:rsidRDefault="00BE7046" w:rsidP="00BE7046">
      <w:pPr>
        <w:spacing w:before="240" w:after="120" w:line="260" w:lineRule="exact"/>
      </w:pPr>
      <w:r w:rsidRPr="00AE2847">
        <w:t xml:space="preserve">Hoogachtend, </w:t>
      </w:r>
    </w:p>
    <w:p w:rsidR="00BE7046" w:rsidRPr="00AE2847" w:rsidRDefault="00BE7046" w:rsidP="00BE7046">
      <w:r w:rsidRPr="00AE2847">
        <w:t xml:space="preserve">de staatssecretaris van Financiën, </w:t>
      </w:r>
    </w:p>
    <w:p w:rsidR="00BE7046" w:rsidRDefault="00BE7046" w:rsidP="00BE7046"/>
    <w:p w:rsidR="00BE7046" w:rsidRDefault="00BE7046" w:rsidP="00BE7046"/>
    <w:p w:rsidR="00BE7046" w:rsidRDefault="00BE7046" w:rsidP="00BE7046"/>
    <w:p w:rsidR="00BE7046" w:rsidRDefault="00BE7046" w:rsidP="00BE7046"/>
    <w:p w:rsidR="00BE7046" w:rsidRDefault="00BE7046" w:rsidP="00BE7046"/>
    <w:p w:rsidR="00BE7046" w:rsidRDefault="00BE7046" w:rsidP="00BE7046"/>
    <w:p w:rsidR="00BE7046" w:rsidRDefault="00BE7046" w:rsidP="00BE7046"/>
    <w:p w:rsidR="00BE7046" w:rsidRPr="003D0764" w:rsidRDefault="00BE7046" w:rsidP="00BE7046">
      <w:r w:rsidRPr="00AE2847">
        <w:t>Eric Wiebes</w:t>
      </w:r>
    </w:p>
    <w:p w:rsidR="00BE7046" w:rsidRPr="003D0764" w:rsidRDefault="00BE7046" w:rsidP="00BE7046"/>
    <w:p w:rsidR="00BE7046" w:rsidRDefault="00BE7046" w:rsidP="00BE7046">
      <w:pPr>
        <w:rPr>
          <w:lang w:eastAsia="zh-CN"/>
        </w:rPr>
      </w:pPr>
    </w:p>
    <w:p w:rsidR="00201129" w:rsidRDefault="00201129" w:rsidP="00137B39">
      <w:pPr>
        <w:rPr>
          <w:lang w:eastAsia="zh-CN"/>
        </w:rPr>
      </w:pPr>
    </w:p>
    <w:p w:rsidR="00812156" w:rsidRDefault="00201129" w:rsidP="00137B39">
      <w:pPr>
        <w:rPr>
          <w:lang w:eastAsia="zh-CN"/>
        </w:rPr>
      </w:pPr>
      <w:r>
        <w:rPr>
          <w:lang w:eastAsia="zh-CN"/>
        </w:rPr>
        <w:br w:type="page"/>
      </w:r>
    </w:p>
    <w:p w:rsidR="00E95738" w:rsidRDefault="00E95738" w:rsidP="00E95738">
      <w:pPr>
        <w:tabs>
          <w:tab w:val="left" w:pos="8080"/>
        </w:tabs>
        <w:ind w:right="2663"/>
        <w:rPr>
          <w:sz w:val="32"/>
          <w:szCs w:val="32"/>
          <w:lang w:eastAsia="zh-CN"/>
        </w:rPr>
      </w:pPr>
      <w:r w:rsidRPr="00E95738">
        <w:rPr>
          <w:rFonts w:ascii="Comic Sans MS" w:hAnsi="Comic Sans MS"/>
          <w:sz w:val="32"/>
          <w:szCs w:val="32"/>
          <w:lang w:eastAsia="zh-CN"/>
        </w:rPr>
        <w:lastRenderedPageBreak/>
        <w:t>Toelichting internationale ontwikkelingen</w:t>
      </w:r>
      <w:r w:rsidRPr="00E95738">
        <w:rPr>
          <w:rFonts w:ascii="Comic Sans MS" w:hAnsi="Comic Sans MS"/>
          <w:sz w:val="32"/>
          <w:szCs w:val="32"/>
          <w:lang w:eastAsia="zh-CN"/>
        </w:rPr>
        <w:br/>
      </w:r>
      <w:r w:rsidR="00E43FD2">
        <w:rPr>
          <w:rFonts w:ascii="Comic Sans MS" w:hAnsi="Comic Sans MS"/>
          <w:sz w:val="32"/>
          <w:szCs w:val="32"/>
          <w:lang w:eastAsia="zh-CN"/>
        </w:rPr>
        <w:pict>
          <v:rect id="_x0000_i1026" style="width:253.5pt;height:1.5pt" o:hrpct="981" o:hralign="center" o:hrstd="t" o:hr="t" fillcolor="#a0a0a0" stroked="f"/>
        </w:pict>
      </w:r>
    </w:p>
    <w:p w:rsidR="00201129" w:rsidRPr="00554C4D" w:rsidRDefault="00E95738" w:rsidP="00137B39">
      <w:pPr>
        <w:rPr>
          <w:sz w:val="32"/>
          <w:szCs w:val="32"/>
          <w:lang w:eastAsia="zh-CN"/>
        </w:rPr>
      </w:pPr>
      <w:r>
        <w:rPr>
          <w:sz w:val="32"/>
          <w:szCs w:val="32"/>
          <w:lang w:eastAsia="zh-CN"/>
        </w:rPr>
        <w:br/>
      </w:r>
      <w:r w:rsidR="00201129" w:rsidRPr="00554C4D">
        <w:rPr>
          <w:sz w:val="32"/>
          <w:szCs w:val="32"/>
          <w:lang w:eastAsia="zh-CN"/>
        </w:rPr>
        <w:t>I</w:t>
      </w:r>
      <w:r w:rsidR="00201129">
        <w:rPr>
          <w:sz w:val="32"/>
          <w:szCs w:val="32"/>
          <w:lang w:eastAsia="zh-CN"/>
        </w:rPr>
        <w:t>nleiding</w:t>
      </w:r>
    </w:p>
    <w:p w:rsidR="00BA3ABE" w:rsidRPr="00E95738" w:rsidRDefault="00BA3ABE" w:rsidP="00137B39">
      <w:pPr>
        <w:rPr>
          <w:lang w:eastAsia="zh-CN"/>
        </w:rPr>
      </w:pPr>
    </w:p>
    <w:p w:rsidR="00201129" w:rsidRDefault="00201129" w:rsidP="00137B39">
      <w:r>
        <w:rPr>
          <w:lang w:eastAsia="zh-CN"/>
        </w:rPr>
        <w:t xml:space="preserve">Aan het vraagstuk van mogelijke belastingontwijking door internationaal opererende bedrijven hebben mijn ambtsvoorgangers </w:t>
      </w:r>
      <w:r w:rsidR="005B345C">
        <w:rPr>
          <w:lang w:eastAsia="zh-CN"/>
        </w:rPr>
        <w:t xml:space="preserve">en ik </w:t>
      </w:r>
      <w:r>
        <w:rPr>
          <w:lang w:eastAsia="zh-CN"/>
        </w:rPr>
        <w:t>bij verschillende gelegenheden aandacht gegeven</w:t>
      </w:r>
      <w:r>
        <w:rPr>
          <w:rStyle w:val="Voetnootmarkering"/>
          <w:lang w:eastAsia="zh-CN"/>
        </w:rPr>
        <w:footnoteReference w:id="1"/>
      </w:r>
      <w:r>
        <w:rPr>
          <w:lang w:eastAsia="zh-CN"/>
        </w:rPr>
        <w:t>.</w:t>
      </w:r>
      <w:r w:rsidRPr="00F0313F">
        <w:t xml:space="preserve"> </w:t>
      </w:r>
    </w:p>
    <w:p w:rsidR="00201129" w:rsidRDefault="00201129" w:rsidP="00137B39">
      <w:pPr>
        <w:rPr>
          <w:lang w:eastAsia="zh-CN"/>
        </w:rPr>
      </w:pPr>
    </w:p>
    <w:p w:rsidR="00201129" w:rsidRDefault="00D96ABA" w:rsidP="000C65C8">
      <w:pPr>
        <w:rPr>
          <w:lang w:eastAsia="zh-CN"/>
        </w:rPr>
      </w:pPr>
      <w:r>
        <w:rPr>
          <w:lang w:eastAsia="zh-CN"/>
        </w:rPr>
        <w:t xml:space="preserve">De vele </w:t>
      </w:r>
      <w:r w:rsidR="00201129">
        <w:rPr>
          <w:lang w:eastAsia="zh-CN"/>
        </w:rPr>
        <w:t>vragen en kn</w:t>
      </w:r>
      <w:r w:rsidR="009C4FF8">
        <w:rPr>
          <w:lang w:eastAsia="zh-CN"/>
        </w:rPr>
        <w:t xml:space="preserve">elpunten </w:t>
      </w:r>
      <w:r>
        <w:rPr>
          <w:lang w:eastAsia="zh-CN"/>
        </w:rPr>
        <w:t xml:space="preserve">die in die brieven zijn beschreven </w:t>
      </w:r>
      <w:r w:rsidR="009C4FF8">
        <w:rPr>
          <w:lang w:eastAsia="zh-CN"/>
        </w:rPr>
        <w:t xml:space="preserve">zijn </w:t>
      </w:r>
      <w:r>
        <w:rPr>
          <w:lang w:eastAsia="zh-CN"/>
        </w:rPr>
        <w:t xml:space="preserve">ook </w:t>
      </w:r>
      <w:r w:rsidR="009C4FF8">
        <w:rPr>
          <w:lang w:eastAsia="zh-CN"/>
        </w:rPr>
        <w:t>in het BEPS actie</w:t>
      </w:r>
      <w:r w:rsidR="00201129">
        <w:rPr>
          <w:lang w:eastAsia="zh-CN"/>
        </w:rPr>
        <w:t>plan van de OESO</w:t>
      </w:r>
      <w:r w:rsidR="00201129">
        <w:rPr>
          <w:rStyle w:val="Voetnootmarkering"/>
          <w:lang w:eastAsia="zh-CN"/>
        </w:rPr>
        <w:footnoteReference w:id="2"/>
      </w:r>
      <w:r w:rsidR="00201129">
        <w:rPr>
          <w:lang w:eastAsia="zh-CN"/>
        </w:rPr>
        <w:t xml:space="preserve"> en in het Actieplan tegen belastingontwijking van de EU geïnventariseerd. In beide fora worden maatregelen voorbereid of zijn al afspraken gemaakt om de mogelijkheden voor ontwijking te beperken. Een zinvolle indeling van die maatregelen volgt de drie beginselen waaraan de OESO </w:t>
      </w:r>
      <w:r w:rsidR="009C4FF8">
        <w:rPr>
          <w:lang w:eastAsia="zh-CN"/>
        </w:rPr>
        <w:t>haar</w:t>
      </w:r>
      <w:r w:rsidR="00201129">
        <w:rPr>
          <w:lang w:eastAsia="zh-CN"/>
        </w:rPr>
        <w:t xml:space="preserve"> actieplan ophangt:</w:t>
      </w:r>
    </w:p>
    <w:p w:rsidR="00201129" w:rsidRDefault="009C4FF8" w:rsidP="00BB66D5">
      <w:pPr>
        <w:pStyle w:val="Lijstalinea"/>
        <w:numPr>
          <w:ilvl w:val="0"/>
          <w:numId w:val="22"/>
        </w:numPr>
        <w:rPr>
          <w:lang w:eastAsia="zh-CN"/>
        </w:rPr>
      </w:pPr>
      <w:r>
        <w:rPr>
          <w:lang w:eastAsia="zh-CN"/>
        </w:rPr>
        <w:t>c</w:t>
      </w:r>
      <w:r w:rsidR="00201129">
        <w:rPr>
          <w:lang w:eastAsia="zh-CN"/>
        </w:rPr>
        <w:t>oherentie</w:t>
      </w:r>
    </w:p>
    <w:p w:rsidR="00201129" w:rsidRDefault="009C4FF8" w:rsidP="00BB66D5">
      <w:pPr>
        <w:pStyle w:val="Lijstalinea"/>
        <w:numPr>
          <w:ilvl w:val="0"/>
          <w:numId w:val="22"/>
        </w:numPr>
        <w:rPr>
          <w:lang w:eastAsia="zh-CN"/>
        </w:rPr>
      </w:pPr>
      <w:r>
        <w:rPr>
          <w:lang w:eastAsia="zh-CN"/>
        </w:rPr>
        <w:t>s</w:t>
      </w:r>
      <w:r w:rsidR="00201129">
        <w:rPr>
          <w:lang w:eastAsia="zh-CN"/>
        </w:rPr>
        <w:t>ubstance</w:t>
      </w:r>
    </w:p>
    <w:p w:rsidR="00201129" w:rsidRDefault="009C4FF8" w:rsidP="00BB66D5">
      <w:pPr>
        <w:pStyle w:val="Lijstalinea"/>
        <w:numPr>
          <w:ilvl w:val="0"/>
          <w:numId w:val="22"/>
        </w:numPr>
        <w:rPr>
          <w:lang w:eastAsia="zh-CN"/>
        </w:rPr>
      </w:pPr>
      <w:r>
        <w:rPr>
          <w:lang w:eastAsia="zh-CN"/>
        </w:rPr>
        <w:t>t</w:t>
      </w:r>
      <w:r w:rsidR="00201129">
        <w:rPr>
          <w:lang w:eastAsia="zh-CN"/>
        </w:rPr>
        <w:t>ransparantie</w:t>
      </w:r>
    </w:p>
    <w:p w:rsidR="00A85DF4" w:rsidRDefault="00A85DF4" w:rsidP="00BB66D5">
      <w:pPr>
        <w:rPr>
          <w:lang w:eastAsia="zh-CN"/>
        </w:rPr>
      </w:pPr>
    </w:p>
    <w:p w:rsidR="00201129" w:rsidRDefault="00201129" w:rsidP="00BB66D5">
      <w:pPr>
        <w:rPr>
          <w:lang w:eastAsia="zh-CN"/>
        </w:rPr>
      </w:pPr>
      <w:r>
        <w:rPr>
          <w:lang w:eastAsia="zh-CN"/>
        </w:rPr>
        <w:t xml:space="preserve">Na een overzicht van maatregelen gebaseerd op die drie beginselen besteed ik </w:t>
      </w:r>
      <w:r w:rsidR="00712AD9">
        <w:rPr>
          <w:lang w:eastAsia="zh-CN"/>
        </w:rPr>
        <w:t xml:space="preserve">in deze toelichting </w:t>
      </w:r>
      <w:r>
        <w:rPr>
          <w:lang w:eastAsia="zh-CN"/>
        </w:rPr>
        <w:t>aandacht aan de mogelijke implementatie van deze maatregelen.</w:t>
      </w:r>
    </w:p>
    <w:p w:rsidR="00712AD9" w:rsidRDefault="00712AD9" w:rsidP="004966DC">
      <w:pPr>
        <w:spacing w:line="240" w:lineRule="auto"/>
        <w:rPr>
          <w:sz w:val="32"/>
          <w:szCs w:val="32"/>
          <w:lang w:eastAsia="zh-CN"/>
        </w:rPr>
      </w:pPr>
    </w:p>
    <w:p w:rsidR="00712AD9" w:rsidRDefault="00712AD9">
      <w:pPr>
        <w:spacing w:line="240" w:lineRule="auto"/>
        <w:rPr>
          <w:sz w:val="32"/>
          <w:szCs w:val="32"/>
          <w:lang w:eastAsia="zh-CN"/>
        </w:rPr>
      </w:pPr>
      <w:r>
        <w:rPr>
          <w:sz w:val="32"/>
          <w:szCs w:val="32"/>
          <w:lang w:eastAsia="zh-CN"/>
        </w:rPr>
        <w:br w:type="page"/>
      </w:r>
    </w:p>
    <w:p w:rsidR="00201129" w:rsidRPr="00795EE7" w:rsidRDefault="00201129" w:rsidP="004966DC">
      <w:pPr>
        <w:spacing w:line="240" w:lineRule="auto"/>
        <w:rPr>
          <w:sz w:val="32"/>
          <w:szCs w:val="32"/>
          <w:lang w:eastAsia="zh-CN"/>
        </w:rPr>
      </w:pPr>
      <w:r w:rsidRPr="00795EE7">
        <w:rPr>
          <w:sz w:val="32"/>
          <w:szCs w:val="32"/>
          <w:lang w:eastAsia="zh-CN"/>
        </w:rPr>
        <w:lastRenderedPageBreak/>
        <w:t>Coherentie</w:t>
      </w:r>
    </w:p>
    <w:p w:rsidR="00E00C4A" w:rsidRDefault="00E00C4A" w:rsidP="00137B39">
      <w:pPr>
        <w:rPr>
          <w:lang w:eastAsia="zh-CN"/>
        </w:rPr>
      </w:pPr>
    </w:p>
    <w:p w:rsidR="00201129" w:rsidRDefault="00201129" w:rsidP="00137B39">
      <w:pPr>
        <w:rPr>
          <w:lang w:eastAsia="zh-CN"/>
        </w:rPr>
      </w:pPr>
      <w:r>
        <w:rPr>
          <w:lang w:eastAsia="zh-CN"/>
        </w:rPr>
        <w:t>Door meer coherentie tussen nationale rechtssystemen te cre</w:t>
      </w:r>
      <w:r w:rsidR="008451F5">
        <w:rPr>
          <w:lang w:eastAsia="zh-CN"/>
        </w:rPr>
        <w:t>ë</w:t>
      </w:r>
      <w:r>
        <w:rPr>
          <w:lang w:eastAsia="zh-CN"/>
        </w:rPr>
        <w:t>ren, nemen de mogelijkheden voor mismatches af. Die samenhang kan bereikt worden door afspraken te maken over elementen die alle landen in hun eigen rechtssysteem zullen opnemen of door afspraken te maken over de wijze waarop landen de behandeling van een betaling afhankelijk stellen van de behandeling in een ander land. Beide benaderingen komen terug in de vier mogelijke maatregelen die hieronder worden beschreven.</w:t>
      </w:r>
    </w:p>
    <w:p w:rsidR="00201129" w:rsidRPr="00137B39" w:rsidRDefault="00201129" w:rsidP="00137B39">
      <w:pPr>
        <w:rPr>
          <w:lang w:eastAsia="zh-CN"/>
        </w:rPr>
      </w:pPr>
    </w:p>
    <w:p w:rsidR="00201129" w:rsidRPr="00795EE7" w:rsidRDefault="00201129">
      <w:pPr>
        <w:spacing w:line="240" w:lineRule="auto"/>
        <w:rPr>
          <w:b/>
          <w:bCs/>
          <w:u w:val="single"/>
          <w:lang w:eastAsia="zh-CN"/>
        </w:rPr>
      </w:pPr>
      <w:r>
        <w:rPr>
          <w:b/>
          <w:bCs/>
          <w:u w:val="single"/>
          <w:lang w:eastAsia="zh-CN"/>
        </w:rPr>
        <w:t>Bestrijding H</w:t>
      </w:r>
      <w:r w:rsidRPr="00795EE7">
        <w:rPr>
          <w:b/>
          <w:bCs/>
          <w:u w:val="single"/>
          <w:lang w:eastAsia="zh-CN"/>
        </w:rPr>
        <w:t>ybrides</w:t>
      </w:r>
    </w:p>
    <w:p w:rsidR="00201129" w:rsidRPr="00F83C3F" w:rsidRDefault="00201129" w:rsidP="00D51FBB">
      <w:pPr>
        <w:spacing w:line="276" w:lineRule="auto"/>
        <w:rPr>
          <w:i/>
          <w:iCs/>
        </w:rPr>
      </w:pPr>
      <w:r>
        <w:t>In</w:t>
      </w:r>
      <w:r w:rsidRPr="00F83C3F">
        <w:t xml:space="preserve"> september 2014 heeft de OESO een rapport uitgebracht </w:t>
      </w:r>
      <w:r>
        <w:t xml:space="preserve">met </w:t>
      </w:r>
      <w:r w:rsidRPr="00F83C3F">
        <w:t xml:space="preserve">gedetailleerde aanbevelingen voor nationale regels </w:t>
      </w:r>
      <w:r>
        <w:t>die de ongewenst</w:t>
      </w:r>
      <w:r w:rsidR="008451F5">
        <w:t>e</w:t>
      </w:r>
      <w:r>
        <w:t xml:space="preserve"> gevolgen</w:t>
      </w:r>
      <w:r w:rsidRPr="00F83C3F">
        <w:t xml:space="preserve"> van</w:t>
      </w:r>
      <w:r>
        <w:t xml:space="preserve"> hybride </w:t>
      </w:r>
      <w:r w:rsidRPr="00F83C3F">
        <w:t>mismatches</w:t>
      </w:r>
      <w:r>
        <w:t xml:space="preserve"> moeten neutraliseren. In h</w:t>
      </w:r>
      <w:r w:rsidRPr="00AC3CF0">
        <w:t xml:space="preserve">et rapport </w:t>
      </w:r>
      <w:r>
        <w:t>worden zes</w:t>
      </w:r>
      <w:r w:rsidRPr="00AC3CF0">
        <w:t xml:space="preserve"> hoofdtypen van hybride mismatches </w:t>
      </w:r>
      <w:r>
        <w:t xml:space="preserve">beschreven en wordt aangegeven hoe deze </w:t>
      </w:r>
      <w:r w:rsidRPr="00AC3CF0">
        <w:t xml:space="preserve">kunnen worden geneutraliseerd in </w:t>
      </w:r>
      <w:r>
        <w:t xml:space="preserve">nationale </w:t>
      </w:r>
      <w:r w:rsidRPr="00AC3CF0">
        <w:t>belastingwetgeving.</w:t>
      </w:r>
    </w:p>
    <w:p w:rsidR="00201129" w:rsidRDefault="00201129" w:rsidP="00D51FBB">
      <w:pPr>
        <w:spacing w:line="276" w:lineRule="auto"/>
      </w:pPr>
      <w:r>
        <w:t xml:space="preserve">Eén van de </w:t>
      </w:r>
      <w:r w:rsidRPr="00F83C3F">
        <w:t>OESO-aanbeveling</w:t>
      </w:r>
      <w:r>
        <w:t>en in dit kader</w:t>
      </w:r>
      <w:r w:rsidRPr="00F83C3F">
        <w:t xml:space="preserve"> </w:t>
      </w:r>
      <w:r>
        <w:t xml:space="preserve">ziet op </w:t>
      </w:r>
      <w:r w:rsidRPr="00F83C3F">
        <w:t>hybride financiering</w:t>
      </w:r>
      <w:r>
        <w:t>en.</w:t>
      </w:r>
      <w:r w:rsidRPr="00F83C3F">
        <w:t xml:space="preserve"> </w:t>
      </w:r>
      <w:r>
        <w:t>De aanbeveling voor hybride financieringen is in lijn</w:t>
      </w:r>
      <w:r w:rsidRPr="00F83C3F">
        <w:t xml:space="preserve"> met </w:t>
      </w:r>
      <w:r>
        <w:t>de toevoeging van een specifieke anti-mismatchregel aan</w:t>
      </w:r>
      <w:r w:rsidRPr="00F83C3F">
        <w:t xml:space="preserve"> de</w:t>
      </w:r>
      <w:r>
        <w:t xml:space="preserve"> EU </w:t>
      </w:r>
      <w:r w:rsidRPr="00F83C3F">
        <w:t>Moeder-dochterrichtlijn</w:t>
      </w:r>
      <w:r>
        <w:t xml:space="preserve"> in 2014</w:t>
      </w:r>
      <w:r>
        <w:rPr>
          <w:rStyle w:val="Voetnootmarkering"/>
        </w:rPr>
        <w:footnoteReference w:id="3"/>
      </w:r>
      <w:r>
        <w:t>.</w:t>
      </w:r>
      <w:r w:rsidRPr="00F83C3F">
        <w:t xml:space="preserve"> </w:t>
      </w:r>
      <w:r w:rsidR="00E00C4A">
        <w:t xml:space="preserve">De implementatie van deze anti-mismatchmaatregel zal, tezamen met de implementatie van de eveneens aan de EU Moeder-dochterrichtlijn toegevoegde generieke anti-misbruikregel, geschieden door middel van een wetsvoorstel dat op Prinsjesdag 2015 als onderdeel van het pakket Belastingplan 2016 wordt ingediend. </w:t>
      </w:r>
    </w:p>
    <w:p w:rsidR="00201129" w:rsidRDefault="00201129" w:rsidP="00D51FBB">
      <w:pPr>
        <w:spacing w:line="276" w:lineRule="auto"/>
      </w:pPr>
      <w:r>
        <w:t>Deze aanbeveling houdt in dat de</w:t>
      </w:r>
      <w:r w:rsidRPr="00AC3CF0">
        <w:t xml:space="preserve"> deelnemingsvrijstelling afhankelijk </w:t>
      </w:r>
      <w:r>
        <w:t xml:space="preserve">dient te worden </w:t>
      </w:r>
      <w:r w:rsidRPr="00AC3CF0">
        <w:t>gesteld van de behandeling van de kapitaalvergoeding in de bronstaat</w:t>
      </w:r>
      <w:r>
        <w:t>. Dat betekent dat wanneer</w:t>
      </w:r>
      <w:r w:rsidRPr="00AC3CF0">
        <w:t xml:space="preserve"> de betaling in de bronstaat aftrekbaar</w:t>
      </w:r>
      <w:r>
        <w:t xml:space="preserve"> is</w:t>
      </w:r>
      <w:r w:rsidRPr="00AC3CF0">
        <w:t xml:space="preserve">, </w:t>
      </w:r>
      <w:r w:rsidR="002A12D5">
        <w:t>Nederland</w:t>
      </w:r>
      <w:r w:rsidRPr="00AC3CF0">
        <w:t xml:space="preserve"> </w:t>
      </w:r>
      <w:r>
        <w:t>de deelnemingsvrijstelling niet mag toepassen</w:t>
      </w:r>
      <w:r w:rsidRPr="00AC3CF0">
        <w:t xml:space="preserve">. </w:t>
      </w:r>
    </w:p>
    <w:p w:rsidR="00201129" w:rsidRDefault="00201129" w:rsidP="00D51FBB">
      <w:pPr>
        <w:spacing w:line="276" w:lineRule="auto"/>
      </w:pPr>
      <w:r w:rsidRPr="00AC3CF0">
        <w:t>Ook voor andere mismatches</w:t>
      </w:r>
      <w:r>
        <w:t xml:space="preserve"> </w:t>
      </w:r>
      <w:r w:rsidRPr="00AC3CF0">
        <w:t xml:space="preserve">is </w:t>
      </w:r>
      <w:r>
        <w:t xml:space="preserve">volgens de aanbevelingen van de OESO </w:t>
      </w:r>
      <w:r w:rsidRPr="00AC3CF0">
        <w:t xml:space="preserve">in </w:t>
      </w:r>
      <w:r>
        <w:t>beginsel</w:t>
      </w:r>
      <w:r w:rsidRPr="00AC3CF0">
        <w:t xml:space="preserve"> de woonstaat van de ontvangende partij</w:t>
      </w:r>
      <w:r w:rsidR="00591DC9">
        <w:t xml:space="preserve"> de eerst aangewezen staat voor</w:t>
      </w:r>
      <w:r w:rsidRPr="00AC3CF0">
        <w:t xml:space="preserve"> het wegnemen van de mismatch</w:t>
      </w:r>
      <w:r>
        <w:t xml:space="preserve"> door voor belasting</w:t>
      </w:r>
      <w:r w:rsidR="00CE697E">
        <w:t>heffing</w:t>
      </w:r>
      <w:r>
        <w:t xml:space="preserve"> te zorgen</w:t>
      </w:r>
      <w:r w:rsidRPr="00AC3CF0">
        <w:t xml:space="preserve">. De voorgestelde regels zijn evenwel zo opgesteld dat als terugvaloptie de bronstaat de mismatch zou moeten </w:t>
      </w:r>
      <w:r>
        <w:t>neutraliseren</w:t>
      </w:r>
      <w:r w:rsidRPr="00AC3CF0">
        <w:t xml:space="preserve"> </w:t>
      </w:r>
      <w:r>
        <w:t>in de situatie dat</w:t>
      </w:r>
      <w:r w:rsidRPr="00AC3CF0">
        <w:t xml:space="preserve"> de woonstaat </w:t>
      </w:r>
      <w:r>
        <w:t>de eerste regel niet in zijn wetgeving heeft opgenomen</w:t>
      </w:r>
      <w:r w:rsidRPr="00AC3CF0">
        <w:t>.</w:t>
      </w:r>
      <w:r>
        <w:t xml:space="preserve"> Dat betekent dat in een dergelijke situatie de bronstaat voor de betaalde vergoeding fiscale aftrek zou moeten weigeren. Dit is echter de “defensieve regel”; het blijft primair aan de woonstaat om de mismatch te neutraliseren. </w:t>
      </w:r>
    </w:p>
    <w:p w:rsidR="00201129" w:rsidRDefault="00201129" w:rsidP="00D51FBB">
      <w:pPr>
        <w:spacing w:line="276" w:lineRule="auto"/>
      </w:pPr>
      <w:r>
        <w:t>Momenteel wordt in OESO-verband nog gesproken over een gedetailleerde invulling van</w:t>
      </w:r>
      <w:r w:rsidRPr="00C60D0D">
        <w:t xml:space="preserve"> </w:t>
      </w:r>
      <w:r>
        <w:t>de aanbevolen anti-mismatch</w:t>
      </w:r>
      <w:r w:rsidRPr="00651FA1">
        <w:t>regels</w:t>
      </w:r>
      <w:r>
        <w:t>. Het doel daarbij is om een gedetailleerd commentaar uit te brengen dat - mede aan de hand van een reeks van concrete voorbeelden - moet zorgen voor nadere “guidance” op dit gebied. Ook zijn enkele punten van een voornamelijk technisch gehalte nog onderdeel van discussie.</w:t>
      </w:r>
    </w:p>
    <w:p w:rsidR="00BA3ABE" w:rsidRDefault="00BA3ABE">
      <w:pPr>
        <w:spacing w:line="240" w:lineRule="auto"/>
        <w:rPr>
          <w:lang w:eastAsia="zh-CN"/>
        </w:rPr>
      </w:pPr>
      <w:r>
        <w:rPr>
          <w:lang w:eastAsia="zh-CN"/>
        </w:rPr>
        <w:br w:type="page"/>
      </w:r>
    </w:p>
    <w:p w:rsidR="00201129" w:rsidRPr="00795EE7" w:rsidRDefault="00201129" w:rsidP="00795EE7">
      <w:pPr>
        <w:spacing w:line="240" w:lineRule="auto"/>
        <w:rPr>
          <w:b/>
          <w:bCs/>
          <w:u w:val="single"/>
          <w:lang w:eastAsia="zh-CN"/>
        </w:rPr>
      </w:pPr>
      <w:r>
        <w:rPr>
          <w:b/>
          <w:bCs/>
          <w:u w:val="single"/>
          <w:lang w:eastAsia="zh-CN"/>
        </w:rPr>
        <w:lastRenderedPageBreak/>
        <w:t xml:space="preserve">Beperking </w:t>
      </w:r>
      <w:r w:rsidRPr="00795EE7">
        <w:rPr>
          <w:b/>
          <w:bCs/>
          <w:u w:val="single"/>
          <w:lang w:eastAsia="zh-CN"/>
        </w:rPr>
        <w:t>Renteaftrek</w:t>
      </w:r>
    </w:p>
    <w:p w:rsidR="00201129" w:rsidRPr="00795EE7" w:rsidRDefault="00201129" w:rsidP="00A7553F">
      <w:pPr>
        <w:autoSpaceDE w:val="0"/>
        <w:autoSpaceDN w:val="0"/>
        <w:adjustRightInd w:val="0"/>
        <w:rPr>
          <w:lang w:eastAsia="zh-CN"/>
        </w:rPr>
      </w:pPr>
      <w:r w:rsidRPr="00795EE7">
        <w:rPr>
          <w:lang w:eastAsia="zh-CN"/>
        </w:rPr>
        <w:t>De OESO heeft</w:t>
      </w:r>
      <w:r>
        <w:rPr>
          <w:lang w:eastAsia="zh-CN"/>
        </w:rPr>
        <w:t xml:space="preserve"> in</w:t>
      </w:r>
      <w:r w:rsidRPr="00795EE7">
        <w:rPr>
          <w:lang w:eastAsia="zh-CN"/>
        </w:rPr>
        <w:t xml:space="preserve"> december 2014 een consultatiedocument gepubliceerd waarin zij de mogelijkheden inventariseert om grondslaguitholling door renteaftrek tegen te gaan. Daarbij </w:t>
      </w:r>
      <w:r>
        <w:rPr>
          <w:lang w:eastAsia="zh-CN"/>
        </w:rPr>
        <w:t xml:space="preserve">spreekt de </w:t>
      </w:r>
      <w:r w:rsidRPr="00795EE7">
        <w:rPr>
          <w:lang w:eastAsia="zh-CN"/>
        </w:rPr>
        <w:t xml:space="preserve">OESO </w:t>
      </w:r>
      <w:r>
        <w:rPr>
          <w:lang w:eastAsia="zh-CN"/>
        </w:rPr>
        <w:t xml:space="preserve">een voorkeur uit voor </w:t>
      </w:r>
      <w:r w:rsidRPr="00795EE7">
        <w:rPr>
          <w:lang w:eastAsia="zh-CN"/>
        </w:rPr>
        <w:t>generieke renteaftrekbeperking</w:t>
      </w:r>
      <w:r>
        <w:rPr>
          <w:lang w:eastAsia="zh-CN"/>
        </w:rPr>
        <w:t xml:space="preserve">en en ziet zij </w:t>
      </w:r>
      <w:r w:rsidRPr="00795EE7">
        <w:rPr>
          <w:lang w:eastAsia="zh-CN"/>
        </w:rPr>
        <w:t xml:space="preserve">specifieke renteaftrekbeperkingen, zoals Nederland die kent, als </w:t>
      </w:r>
      <w:r>
        <w:rPr>
          <w:lang w:eastAsia="zh-CN"/>
        </w:rPr>
        <w:t xml:space="preserve">mogelijke </w:t>
      </w:r>
      <w:r w:rsidRPr="00795EE7">
        <w:rPr>
          <w:lang w:eastAsia="zh-CN"/>
        </w:rPr>
        <w:t>aanvull</w:t>
      </w:r>
      <w:r>
        <w:rPr>
          <w:lang w:eastAsia="zh-CN"/>
        </w:rPr>
        <w:t>ing daarop.</w:t>
      </w:r>
      <w:r w:rsidRPr="00795EE7">
        <w:rPr>
          <w:lang w:eastAsia="zh-CN"/>
        </w:rPr>
        <w:t xml:space="preserve"> </w:t>
      </w:r>
    </w:p>
    <w:p w:rsidR="00811CCC" w:rsidRDefault="0099530E" w:rsidP="00811CCC">
      <w:pPr>
        <w:tabs>
          <w:tab w:val="left" w:pos="7797"/>
        </w:tabs>
        <w:autoSpaceDE w:val="0"/>
        <w:autoSpaceDN w:val="0"/>
        <w:adjustRightInd w:val="0"/>
        <w:spacing w:line="240" w:lineRule="exact"/>
        <w:rPr>
          <w:lang w:eastAsia="zh-CN"/>
        </w:rPr>
      </w:pPr>
      <w:r>
        <w:rPr>
          <w:lang w:eastAsia="zh-CN"/>
        </w:rPr>
        <w:t xml:space="preserve">De ontwikkelingen wijzen erop dat binnen </w:t>
      </w:r>
      <w:r w:rsidR="00201129" w:rsidRPr="00795EE7">
        <w:rPr>
          <w:lang w:eastAsia="zh-CN"/>
        </w:rPr>
        <w:t>de OESO</w:t>
      </w:r>
      <w:r>
        <w:rPr>
          <w:lang w:eastAsia="zh-CN"/>
        </w:rPr>
        <w:t xml:space="preserve"> als ‘best practice’ e</w:t>
      </w:r>
      <w:r w:rsidR="00201129" w:rsidRPr="00795EE7">
        <w:rPr>
          <w:lang w:eastAsia="zh-CN"/>
        </w:rPr>
        <w:t xml:space="preserve">en </w:t>
      </w:r>
      <w:r w:rsidR="00201129">
        <w:rPr>
          <w:lang w:eastAsia="zh-CN"/>
        </w:rPr>
        <w:t>“</w:t>
      </w:r>
      <w:r w:rsidR="00201129" w:rsidRPr="00795EE7">
        <w:rPr>
          <w:lang w:eastAsia="zh-CN"/>
        </w:rPr>
        <w:t>earnings stripping</w:t>
      </w:r>
      <w:r w:rsidR="00201129">
        <w:rPr>
          <w:lang w:eastAsia="zh-CN"/>
        </w:rPr>
        <w:t>”-maatregel</w:t>
      </w:r>
      <w:r>
        <w:rPr>
          <w:lang w:eastAsia="zh-CN"/>
        </w:rPr>
        <w:t xml:space="preserve"> overeengekomen zal worden.</w:t>
      </w:r>
      <w:r w:rsidR="00811CCC" w:rsidRPr="00811CCC">
        <w:rPr>
          <w:lang w:eastAsia="zh-CN"/>
        </w:rPr>
        <w:t xml:space="preserve"> </w:t>
      </w:r>
      <w:r w:rsidR="00811CCC">
        <w:rPr>
          <w:lang w:eastAsia="zh-CN"/>
        </w:rPr>
        <w:t>Een dergelijke maatregel levert eveneens een bijdrage aan een meer gelijke behandeling van eigen en vreemd vermogen.</w:t>
      </w:r>
    </w:p>
    <w:p w:rsidR="00201129" w:rsidRPr="00795EE7" w:rsidRDefault="00811CCC" w:rsidP="00A7553F">
      <w:pPr>
        <w:autoSpaceDE w:val="0"/>
        <w:autoSpaceDN w:val="0"/>
        <w:adjustRightInd w:val="0"/>
        <w:rPr>
          <w:lang w:eastAsia="zh-CN"/>
        </w:rPr>
      </w:pPr>
      <w:r>
        <w:rPr>
          <w:lang w:eastAsia="zh-CN"/>
        </w:rPr>
        <w:t>De regeling</w:t>
      </w:r>
      <w:r w:rsidR="00201129">
        <w:rPr>
          <w:lang w:eastAsia="zh-CN"/>
        </w:rPr>
        <w:t xml:space="preserve"> </w:t>
      </w:r>
      <w:r w:rsidR="00201129" w:rsidRPr="00795EE7">
        <w:rPr>
          <w:lang w:eastAsia="zh-CN"/>
        </w:rPr>
        <w:t xml:space="preserve">houdt in dat de rente niet aftrekbaar is voor zover het saldo van verschuldigde en ontvangen </w:t>
      </w:r>
      <w:r w:rsidR="00201129">
        <w:rPr>
          <w:lang w:eastAsia="zh-CN"/>
        </w:rPr>
        <w:t xml:space="preserve">rente </w:t>
      </w:r>
      <w:r w:rsidR="00201129" w:rsidRPr="00795EE7">
        <w:rPr>
          <w:lang w:eastAsia="zh-CN"/>
        </w:rPr>
        <w:t>(</w:t>
      </w:r>
      <w:r w:rsidR="00201129">
        <w:rPr>
          <w:lang w:eastAsia="zh-CN"/>
        </w:rPr>
        <w:t xml:space="preserve">zowel binnen de </w:t>
      </w:r>
      <w:r w:rsidR="00201129" w:rsidRPr="00795EE7">
        <w:rPr>
          <w:lang w:eastAsia="zh-CN"/>
        </w:rPr>
        <w:t>groep</w:t>
      </w:r>
      <w:r w:rsidR="00201129">
        <w:rPr>
          <w:lang w:eastAsia="zh-CN"/>
        </w:rPr>
        <w:t xml:space="preserve"> als van derden)</w:t>
      </w:r>
      <w:r w:rsidR="00201129" w:rsidRPr="00795EE7">
        <w:rPr>
          <w:lang w:eastAsia="zh-CN"/>
        </w:rPr>
        <w:t> meer bedraagt dan een bepaald percentage van de winst vóór aftrek van rente en afschrijvingen</w:t>
      </w:r>
      <w:r w:rsidR="00201129">
        <w:rPr>
          <w:rStyle w:val="Voetnootmarkering"/>
          <w:lang w:eastAsia="zh-CN"/>
        </w:rPr>
        <w:footnoteReference w:id="4"/>
      </w:r>
      <w:r w:rsidR="00201129" w:rsidRPr="00795EE7">
        <w:rPr>
          <w:lang w:eastAsia="zh-CN"/>
        </w:rPr>
        <w:t xml:space="preserve">. Bij een laag percentage loopt de belastingplichtige </w:t>
      </w:r>
      <w:r w:rsidR="00201129">
        <w:rPr>
          <w:lang w:eastAsia="zh-CN"/>
        </w:rPr>
        <w:t xml:space="preserve">uiteraard eerder </w:t>
      </w:r>
      <w:r w:rsidR="00201129" w:rsidRPr="00795EE7">
        <w:rPr>
          <w:lang w:eastAsia="zh-CN"/>
        </w:rPr>
        <w:t>tegen een renteaftrekbeperking aan. De OESO s</w:t>
      </w:r>
      <w:r w:rsidR="00201129">
        <w:rPr>
          <w:lang w:eastAsia="zh-CN"/>
        </w:rPr>
        <w:t>ug</w:t>
      </w:r>
      <w:r w:rsidR="007B3BE7">
        <w:rPr>
          <w:lang w:eastAsia="zh-CN"/>
        </w:rPr>
        <w:t>g</w:t>
      </w:r>
      <w:r w:rsidR="00201129">
        <w:rPr>
          <w:lang w:eastAsia="zh-CN"/>
        </w:rPr>
        <w:t>ereert</w:t>
      </w:r>
      <w:r w:rsidR="00201129" w:rsidRPr="00795EE7">
        <w:rPr>
          <w:lang w:eastAsia="zh-CN"/>
        </w:rPr>
        <w:t xml:space="preserve"> dat de belastingplichtige in een dergelijk geval een </w:t>
      </w:r>
      <w:r w:rsidR="00201129">
        <w:rPr>
          <w:lang w:eastAsia="zh-CN"/>
        </w:rPr>
        <w:t xml:space="preserve">uitweg </w:t>
      </w:r>
      <w:r w:rsidR="00201129" w:rsidRPr="00795EE7">
        <w:rPr>
          <w:lang w:eastAsia="zh-CN"/>
        </w:rPr>
        <w:t xml:space="preserve">kan worden geboden als de rentelast </w:t>
      </w:r>
      <w:r w:rsidR="00201129">
        <w:rPr>
          <w:lang w:eastAsia="zh-CN"/>
        </w:rPr>
        <w:t xml:space="preserve">(aan derden) </w:t>
      </w:r>
      <w:r w:rsidR="00201129" w:rsidRPr="00795EE7">
        <w:rPr>
          <w:lang w:eastAsia="zh-CN"/>
        </w:rPr>
        <w:t xml:space="preserve">van de belastingplichtige naar verhouding kleiner is dan </w:t>
      </w:r>
      <w:r w:rsidR="00201129">
        <w:rPr>
          <w:lang w:eastAsia="zh-CN"/>
        </w:rPr>
        <w:t>die</w:t>
      </w:r>
      <w:r w:rsidR="00201129" w:rsidRPr="00795EE7">
        <w:rPr>
          <w:lang w:eastAsia="zh-CN"/>
        </w:rPr>
        <w:t xml:space="preserve"> van de groep waartoe hij behoort of als de verhouding tussen eigen en vreemd vermogen bij de belastingplichtige niet slechter is dan bij de groep als geheel</w:t>
      </w:r>
      <w:r w:rsidR="00201129">
        <w:rPr>
          <w:lang w:eastAsia="zh-CN"/>
        </w:rPr>
        <w:t>.</w:t>
      </w:r>
    </w:p>
    <w:p w:rsidR="00201129" w:rsidRPr="00795EE7" w:rsidRDefault="00201129" w:rsidP="00A7553F">
      <w:pPr>
        <w:autoSpaceDE w:val="0"/>
        <w:autoSpaceDN w:val="0"/>
        <w:adjustRightInd w:val="0"/>
        <w:rPr>
          <w:lang w:eastAsia="zh-CN"/>
        </w:rPr>
      </w:pPr>
    </w:p>
    <w:p w:rsidR="00201129" w:rsidRPr="00ED7BAA" w:rsidRDefault="00201129" w:rsidP="00795EE7">
      <w:pPr>
        <w:spacing w:line="240" w:lineRule="auto"/>
        <w:rPr>
          <w:b/>
          <w:bCs/>
          <w:u w:val="single"/>
          <w:lang w:val="en-US" w:eastAsia="zh-CN"/>
        </w:rPr>
      </w:pPr>
      <w:r w:rsidRPr="00ED7BAA">
        <w:rPr>
          <w:b/>
          <w:bCs/>
          <w:u w:val="single"/>
          <w:lang w:val="en-US" w:eastAsia="zh-CN"/>
        </w:rPr>
        <w:t>Invoering CFC regels</w:t>
      </w:r>
    </w:p>
    <w:p w:rsidR="00201129" w:rsidRPr="00795EE7" w:rsidRDefault="00201129" w:rsidP="00A7553F">
      <w:pPr>
        <w:tabs>
          <w:tab w:val="left" w:pos="0"/>
        </w:tabs>
        <w:rPr>
          <w:lang w:eastAsia="zh-CN"/>
        </w:rPr>
      </w:pPr>
      <w:r w:rsidRPr="00BE7CFB">
        <w:rPr>
          <w:lang w:val="en-GB" w:eastAsia="zh-CN"/>
        </w:rPr>
        <w:t xml:space="preserve">CFC staat voor </w:t>
      </w:r>
      <w:r>
        <w:rPr>
          <w:lang w:val="en-GB" w:eastAsia="zh-CN"/>
        </w:rPr>
        <w:t>‘</w:t>
      </w:r>
      <w:r w:rsidRPr="00BE7CFB">
        <w:rPr>
          <w:lang w:val="en-GB" w:eastAsia="zh-CN"/>
        </w:rPr>
        <w:t>controlled foreign corporations</w:t>
      </w:r>
      <w:r>
        <w:rPr>
          <w:lang w:val="en-GB" w:eastAsia="zh-CN"/>
        </w:rPr>
        <w:t>’</w:t>
      </w:r>
      <w:r w:rsidRPr="00BE7CFB">
        <w:rPr>
          <w:lang w:val="en-GB" w:eastAsia="zh-CN"/>
        </w:rPr>
        <w:t xml:space="preserve">. </w:t>
      </w:r>
      <w:r>
        <w:rPr>
          <w:lang w:eastAsia="zh-CN"/>
        </w:rPr>
        <w:t xml:space="preserve">Daarmee wordt gedoeld op buitenlandse dochtermaatschappijen in </w:t>
      </w:r>
      <w:r w:rsidRPr="00795EE7">
        <w:rPr>
          <w:lang w:eastAsia="zh-CN"/>
        </w:rPr>
        <w:t>laagbelastend</w:t>
      </w:r>
      <w:r>
        <w:rPr>
          <w:lang w:eastAsia="zh-CN"/>
        </w:rPr>
        <w:t>e</w:t>
      </w:r>
      <w:r w:rsidRPr="00795EE7">
        <w:rPr>
          <w:lang w:eastAsia="zh-CN"/>
        </w:rPr>
        <w:t xml:space="preserve"> land</w:t>
      </w:r>
      <w:r>
        <w:rPr>
          <w:lang w:eastAsia="zh-CN"/>
        </w:rPr>
        <w:t xml:space="preserve">en </w:t>
      </w:r>
      <w:r w:rsidRPr="00795EE7">
        <w:rPr>
          <w:lang w:eastAsia="zh-CN"/>
        </w:rPr>
        <w:t xml:space="preserve">die onder controle staan van een binnenlands belastingplichtig lichaam. Door </w:t>
      </w:r>
      <w:r>
        <w:rPr>
          <w:lang w:eastAsia="zh-CN"/>
        </w:rPr>
        <w:t>concern</w:t>
      </w:r>
      <w:r w:rsidRPr="00795EE7">
        <w:rPr>
          <w:lang w:eastAsia="zh-CN"/>
        </w:rPr>
        <w:t xml:space="preserve">winsten </w:t>
      </w:r>
      <w:r w:rsidR="004D34D6">
        <w:rPr>
          <w:lang w:eastAsia="zh-CN"/>
        </w:rPr>
        <w:t>bij die dochter</w:t>
      </w:r>
      <w:r>
        <w:rPr>
          <w:lang w:eastAsia="zh-CN"/>
        </w:rPr>
        <w:t xml:space="preserve"> </w:t>
      </w:r>
      <w:r w:rsidRPr="00795EE7">
        <w:rPr>
          <w:lang w:eastAsia="zh-CN"/>
        </w:rPr>
        <w:t xml:space="preserve">te </w:t>
      </w:r>
      <w:r>
        <w:rPr>
          <w:lang w:eastAsia="zh-CN"/>
        </w:rPr>
        <w:t>laten neerslaan</w:t>
      </w:r>
      <w:r>
        <w:rPr>
          <w:rStyle w:val="Voetnootmarkering"/>
          <w:lang w:eastAsia="zh-CN"/>
        </w:rPr>
        <w:footnoteReference w:id="5"/>
      </w:r>
      <w:r w:rsidRPr="00795EE7">
        <w:rPr>
          <w:lang w:eastAsia="zh-CN"/>
        </w:rPr>
        <w:t xml:space="preserve"> zou belasting kunnen worden uitgesteld zolang de winst niet wordt uitgekeerd.</w:t>
      </w:r>
    </w:p>
    <w:p w:rsidR="00201129" w:rsidRPr="00795EE7" w:rsidRDefault="00201129" w:rsidP="00A7553F">
      <w:pPr>
        <w:tabs>
          <w:tab w:val="left" w:pos="0"/>
        </w:tabs>
        <w:rPr>
          <w:lang w:eastAsia="zh-CN"/>
        </w:rPr>
      </w:pPr>
      <w:r w:rsidRPr="00795EE7">
        <w:rPr>
          <w:lang w:eastAsia="zh-CN"/>
        </w:rPr>
        <w:t>Nederland heeft wetgeving die als een CFC-regel zou kunnen worden geduid. Indien sprake is van een laagbelaste beleggingsdeelneming waarvan de bezittingen geheel of nagenoeg geheel bestaan uit passieve vermogensbestanddelen vindt jaarlijks een verplichte herwaardering van die deelneming plaats op het niveau van de Nederlandse moedermaatschappij</w:t>
      </w:r>
      <w:r>
        <w:rPr>
          <w:lang w:eastAsia="zh-CN"/>
        </w:rPr>
        <w:t xml:space="preserve"> en is op die winst de deelnemingsvrijstelling niet van toepassing.</w:t>
      </w:r>
    </w:p>
    <w:p w:rsidR="00201129" w:rsidRPr="00ED7BAA" w:rsidRDefault="00201129" w:rsidP="00BA3ABE">
      <w:pPr>
        <w:tabs>
          <w:tab w:val="left" w:pos="0"/>
        </w:tabs>
      </w:pPr>
      <w:r w:rsidRPr="00795EE7">
        <w:rPr>
          <w:lang w:eastAsia="zh-CN"/>
        </w:rPr>
        <w:t xml:space="preserve">Omdat de opvattingen van de verschillende landen </w:t>
      </w:r>
      <w:r>
        <w:rPr>
          <w:lang w:eastAsia="zh-CN"/>
        </w:rPr>
        <w:t xml:space="preserve">daarover </w:t>
      </w:r>
      <w:r w:rsidRPr="00795EE7">
        <w:rPr>
          <w:lang w:eastAsia="zh-CN"/>
        </w:rPr>
        <w:t xml:space="preserve">nogal uiteen lopen en er nog veel vragen over de invulling openstaan, is op dit moment nog zeer moeilijk in te schatten welke </w:t>
      </w:r>
      <w:r w:rsidR="0099530E">
        <w:rPr>
          <w:lang w:eastAsia="zh-CN"/>
        </w:rPr>
        <w:t>regel</w:t>
      </w:r>
      <w:r w:rsidR="00E36E9F">
        <w:rPr>
          <w:lang w:eastAsia="zh-CN"/>
        </w:rPr>
        <w:t xml:space="preserve">s, of welke opties voor regels (“bouwstenen”), </w:t>
      </w:r>
      <w:r w:rsidRPr="00795EE7">
        <w:rPr>
          <w:lang w:eastAsia="zh-CN"/>
        </w:rPr>
        <w:t xml:space="preserve">de OESO </w:t>
      </w:r>
      <w:r w:rsidR="0099530E">
        <w:rPr>
          <w:lang w:eastAsia="zh-CN"/>
        </w:rPr>
        <w:t>als ‘best practice’ zal omarmen</w:t>
      </w:r>
      <w:r w:rsidRPr="00795EE7">
        <w:rPr>
          <w:lang w:eastAsia="zh-CN"/>
        </w:rPr>
        <w:t>.</w:t>
      </w:r>
    </w:p>
    <w:p w:rsidR="00201129" w:rsidRPr="001A1F54" w:rsidRDefault="00201129" w:rsidP="00A7553F">
      <w:pPr>
        <w:rPr>
          <w:sz w:val="32"/>
          <w:szCs w:val="32"/>
          <w:lang w:eastAsia="zh-CN"/>
        </w:rPr>
      </w:pPr>
      <w:r>
        <w:rPr>
          <w:sz w:val="32"/>
          <w:szCs w:val="32"/>
          <w:lang w:eastAsia="zh-CN"/>
        </w:rPr>
        <w:br w:type="page"/>
      </w:r>
      <w:r w:rsidRPr="001A1F54">
        <w:rPr>
          <w:sz w:val="32"/>
          <w:szCs w:val="32"/>
          <w:lang w:eastAsia="zh-CN"/>
        </w:rPr>
        <w:lastRenderedPageBreak/>
        <w:t>Substance</w:t>
      </w:r>
    </w:p>
    <w:p w:rsidR="00BA3ABE" w:rsidRDefault="00BA3ABE" w:rsidP="00A7553F"/>
    <w:p w:rsidR="00201129" w:rsidRDefault="00201129" w:rsidP="00A7553F">
      <w:r>
        <w:t xml:space="preserve">Een tweede groep maatregelen is gebaseerd op het streven de toerekening van winsten en daarmee de plaats waar belasting wordt geheven, beter aan te laten sluiten bij de plaats waar de activiteiten plaatsvinden, waar de risico’s worden beheerd en waar de waarde wordt gecreëerd. </w:t>
      </w:r>
    </w:p>
    <w:p w:rsidR="00201129" w:rsidRPr="001A1F54" w:rsidRDefault="00201129" w:rsidP="00A7553F"/>
    <w:p w:rsidR="00201129" w:rsidRPr="001A1F54" w:rsidRDefault="00201129" w:rsidP="00795EE7">
      <w:pPr>
        <w:spacing w:line="240" w:lineRule="auto"/>
        <w:rPr>
          <w:b/>
          <w:bCs/>
          <w:u w:val="single"/>
          <w:lang w:eastAsia="zh-CN"/>
        </w:rPr>
      </w:pPr>
      <w:r w:rsidRPr="001A1F54">
        <w:rPr>
          <w:b/>
          <w:bCs/>
          <w:u w:val="single"/>
          <w:lang w:eastAsia="zh-CN"/>
        </w:rPr>
        <w:t>Transfer pricing</w:t>
      </w:r>
    </w:p>
    <w:p w:rsidR="00201129" w:rsidRDefault="00201129" w:rsidP="005A39EE">
      <w:r>
        <w:t>Het belangrijkste instrument bij een correcte toerekening van winsten zijn de beginselen van Transfer Pricing en het arm’s length principe. Bij transacties tussen onafhankelijke partijen is de beloning van deze partijen afhankelijk van de functies die door ieder van de partijen worden uitgeoefend, waarbij rekening wordt gehouden met gedragen risico’s en gebruikte activa. Dat dient ook in transacties tussen verbonden partijen tot uitdrukking te komen. De zorg dat aan de hand</w:t>
      </w:r>
      <w:r w:rsidR="005B7EC6">
        <w:t xml:space="preserve"> van</w:t>
      </w:r>
      <w:r>
        <w:t xml:space="preserve"> de huidige Transfer Pricing Guidelines de toerekening niet altijd in overeenstemming is met dit beginsel heeft geleid tot drie BEPS-actiepunten op het gebied van Transfer Pricing: </w:t>
      </w:r>
    </w:p>
    <w:p w:rsidR="00201129" w:rsidRDefault="00201129" w:rsidP="005A39EE">
      <w:r>
        <w:t xml:space="preserve">- </w:t>
      </w:r>
      <w:r w:rsidR="004F49C3">
        <w:t>immateriële</w:t>
      </w:r>
      <w:r>
        <w:t xml:space="preserve"> activa,</w:t>
      </w:r>
    </w:p>
    <w:p w:rsidR="00201129" w:rsidRDefault="00201129" w:rsidP="005A39EE">
      <w:r>
        <w:t xml:space="preserve">- </w:t>
      </w:r>
      <w:r w:rsidR="009C4FF8">
        <w:t>r</w:t>
      </w:r>
      <w:r>
        <w:t xml:space="preserve">isico en </w:t>
      </w:r>
      <w:r w:rsidR="005B7EC6">
        <w:t>e</w:t>
      </w:r>
      <w:r>
        <w:t>igen vermogen,</w:t>
      </w:r>
    </w:p>
    <w:p w:rsidR="00201129" w:rsidRDefault="009C4FF8" w:rsidP="005A39EE">
      <w:r>
        <w:t>- a</w:t>
      </w:r>
      <w:r w:rsidR="00201129">
        <w:t>ndere transacties met hoog risico.</w:t>
      </w:r>
    </w:p>
    <w:p w:rsidR="00201129" w:rsidRDefault="00201129" w:rsidP="00A7553F">
      <w:r>
        <w:t>In de discussies binnen de OESO is het accent nadrukkelijk verschoven van de contractue</w:t>
      </w:r>
      <w:r w:rsidR="00864992">
        <w:t>l</w:t>
      </w:r>
      <w:r>
        <w:t>e vormge</w:t>
      </w:r>
      <w:r w:rsidR="00EB1CDC">
        <w:t>ving</w:t>
      </w:r>
      <w:r>
        <w:t xml:space="preserve">, naar de economische werkelijkheid. Daarbij speelt de plaats waar relevante functionaliteit wordt uitgeoefend een belangrijke rol. Diezelfde functionaliteit is ook van doorslaggevende betekenis bij de allocatie van beheersbare risico’s, vanuit de gedachte dat het vooral functies zijn die deze risico’s (kunnen) managen. </w:t>
      </w:r>
    </w:p>
    <w:p w:rsidR="00201129" w:rsidRDefault="00201129" w:rsidP="00A7553F">
      <w:r>
        <w:t xml:space="preserve">In het kader van deze aanpak wordt in de voorgenomen aanpassingen van de Transfer Pricing Guidelines van de OESO veel aandacht geschonken aan het vaststellen van de feitelijke transactie en de verschillen ten opzichte van de contractuele vormgeving. </w:t>
      </w:r>
    </w:p>
    <w:p w:rsidR="00201129" w:rsidRDefault="00201129" w:rsidP="00A7553F">
      <w:r>
        <w:t>Deze ontwikkelingen zijn geheel in lijn met het in Nederland toegepaste beleid, zoals dat in het verrekenprijsbesluit</w:t>
      </w:r>
      <w:r>
        <w:rPr>
          <w:rStyle w:val="Voetnootmarkering"/>
        </w:rPr>
        <w:footnoteReference w:id="6"/>
      </w:r>
      <w:r>
        <w:t xml:space="preserve"> van 2013 is beschreven.</w:t>
      </w:r>
    </w:p>
    <w:p w:rsidR="00201129" w:rsidRDefault="00201129" w:rsidP="00A7553F"/>
    <w:p w:rsidR="00201129" w:rsidRPr="00795EE7" w:rsidRDefault="00201129" w:rsidP="00795EE7">
      <w:pPr>
        <w:spacing w:line="240" w:lineRule="auto"/>
        <w:rPr>
          <w:b/>
          <w:bCs/>
          <w:u w:val="single"/>
          <w:lang w:eastAsia="zh-CN"/>
        </w:rPr>
      </w:pPr>
      <w:r w:rsidRPr="00795EE7">
        <w:rPr>
          <w:b/>
          <w:bCs/>
          <w:u w:val="single"/>
          <w:lang w:eastAsia="zh-CN"/>
        </w:rPr>
        <w:t xml:space="preserve">Preferentiële regimes </w:t>
      </w:r>
    </w:p>
    <w:p w:rsidR="00201129" w:rsidRDefault="00201129" w:rsidP="008E7DBB">
      <w:r>
        <w:t>Preferenti</w:t>
      </w:r>
      <w:r w:rsidR="00942212">
        <w:t>ë</w:t>
      </w:r>
      <w:r>
        <w:t xml:space="preserve">le regimes worden als mogelijk probleem beschouwd omdat </w:t>
      </w:r>
      <w:r w:rsidR="00EA28AD">
        <w:t>sommige regimes</w:t>
      </w:r>
      <w:r>
        <w:t xml:space="preserve"> het risico </w:t>
      </w:r>
      <w:r w:rsidR="00942212">
        <w:t xml:space="preserve">in zich bergen </w:t>
      </w:r>
      <w:r>
        <w:t>dat belastingplichtigen proberen hun winsten kunstmatig te verschuiven om van deze regimes gebruik te maken.</w:t>
      </w:r>
    </w:p>
    <w:p w:rsidR="00280B98" w:rsidRDefault="00201129" w:rsidP="008E7DBB">
      <w:r>
        <w:t xml:space="preserve">Als onderdeel van het BEPS-project werkt het </w:t>
      </w:r>
      <w:r w:rsidRPr="003C2244">
        <w:rPr>
          <w:i/>
          <w:iCs/>
        </w:rPr>
        <w:t>Forum on Harmful Tax Practices</w:t>
      </w:r>
      <w:r>
        <w:t xml:space="preserve"> aan kaders voor innovatieboxen. In mijn brief van 1 december 2014</w:t>
      </w:r>
      <w:r w:rsidR="009851C2">
        <w:rPr>
          <w:rStyle w:val="Voetnootmarkering"/>
        </w:rPr>
        <w:footnoteReference w:id="7"/>
      </w:r>
      <w:r>
        <w:t xml:space="preserve"> heb ik uw Kamer geïnformeerd over de afspraak die in OESO-verband is gemaakt op instigatie van Duitsland en het Verenigd Koninkrijk. Deze afspraak bestond enerzijds uit een erkenning dat een innovatiebox een belangrijk en legitiem instrument is om onderzoek en ontwikkeling in Europa te stimuleren. Deze erkenning is een ondersteuning van Nederlandse standpunt dat de innovatiebox een belangrijk instrument is voor het bevorderen van innovatie en van het vestigingsklimaat. Daarmee kan de innovatiebox een bestendige plek behouden in het Nederlandse vestigingsklimaat voor innovatieve ondernemingen. Anderzijds is afgesproken dat landen de zogen</w:t>
      </w:r>
      <w:r w:rsidR="009C4FF8">
        <w:t>oe</w:t>
      </w:r>
      <w:r>
        <w:t xml:space="preserve">mde </w:t>
      </w:r>
      <w:r>
        <w:rPr>
          <w:i/>
          <w:iCs/>
        </w:rPr>
        <w:t>nexus approach</w:t>
      </w:r>
      <w:r>
        <w:t xml:space="preserve"> moeten implementeren om te voorkomen dat innovatieboxen worden misbruikt als instrument voor belastingontwijking. De </w:t>
      </w:r>
      <w:r w:rsidR="00B11964">
        <w:rPr>
          <w:i/>
          <w:iCs/>
        </w:rPr>
        <w:t xml:space="preserve">nexus </w:t>
      </w:r>
      <w:r w:rsidR="00B11964">
        <w:rPr>
          <w:i/>
          <w:iCs/>
        </w:rPr>
        <w:lastRenderedPageBreak/>
        <w:t>approach</w:t>
      </w:r>
      <w:r w:rsidR="00B11964">
        <w:t xml:space="preserve"> leidt ertoe dat er een sterkere band ontstaat tussen de kosten die in een land worden gemaakt en de </w:t>
      </w:r>
      <w:r w:rsidR="00EA28AD">
        <w:t>winsten waarop de innovatiebox kan worden toegepast</w:t>
      </w:r>
      <w:r w:rsidR="00B11964">
        <w:t>.</w:t>
      </w:r>
      <w:r>
        <w:t xml:space="preserve"> </w:t>
      </w:r>
    </w:p>
    <w:p w:rsidR="00B378ED" w:rsidRDefault="00201129" w:rsidP="008E7DBB">
      <w:r>
        <w:t xml:space="preserve">Daarnaast wordt gesproken over grenzen aan het soort immateriële activa dat in aanmerking mag komen voor de innovatiebox. Voor Nederland is in dat kader van belang dat winsten die voortvloeien uit innovatieve activiteiten waar een S&amp;O-verklaring voor is afgegeven, zoveel mogelijk in aanmerking blijven komen voor een preferentieel regime, zoals nu onder de innovatiebox. Dat is belangrijk omdat het daarmee mogelijk blijft om innovatie in brede zin te stimuleren. </w:t>
      </w:r>
    </w:p>
    <w:p w:rsidR="00642585" w:rsidRDefault="004F49C3" w:rsidP="00642585">
      <w:r>
        <w:t xml:space="preserve">Een vergelijkbare discussie over de grenzen aan preferentiële innovatie- of patentregimes wordt gevoerd in Europees verband. </w:t>
      </w:r>
      <w:r w:rsidR="00642585">
        <w:t>Wanneer binnen de OESO overeenstemming is bereikt over de eisen waaraan patent- en innovatieboxen zouden moeten voldoen, moeten ook de EU-lidstaten hun patentboxen aanpassen aan deze nieuwe eisen. Vervolgens zullen de gewijzigde patentboxen getoetst worden in de EU-Gedragscodegroep.</w:t>
      </w:r>
    </w:p>
    <w:p w:rsidR="00201129" w:rsidRDefault="00201129" w:rsidP="008E7DBB"/>
    <w:p w:rsidR="00201129" w:rsidRDefault="00201129" w:rsidP="00A7553F"/>
    <w:p w:rsidR="00201129" w:rsidRPr="00795EE7" w:rsidRDefault="00201129" w:rsidP="00795EE7">
      <w:pPr>
        <w:spacing w:line="240" w:lineRule="auto"/>
        <w:rPr>
          <w:b/>
          <w:bCs/>
          <w:u w:val="single"/>
          <w:lang w:eastAsia="zh-CN"/>
        </w:rPr>
      </w:pPr>
      <w:r w:rsidRPr="00795EE7">
        <w:rPr>
          <w:b/>
          <w:bCs/>
          <w:u w:val="single"/>
          <w:lang w:eastAsia="zh-CN"/>
        </w:rPr>
        <w:t>Verdragsmisbruik</w:t>
      </w:r>
    </w:p>
    <w:p w:rsidR="00201129" w:rsidRDefault="00201129" w:rsidP="00A7553F">
      <w:r>
        <w:t xml:space="preserve">Een belangrijke zorg van de OESO is dat verdragen kunnen worden misbruikt. Zoals ik in de </w:t>
      </w:r>
      <w:r w:rsidR="00864992">
        <w:t>begeleidende brief</w:t>
      </w:r>
      <w:r>
        <w:t xml:space="preserve"> schreef</w:t>
      </w:r>
      <w:r w:rsidR="00CE697E">
        <w:t>,</w:t>
      </w:r>
      <w:r>
        <w:t xml:space="preserve"> zijn belastingverdragen ontstaan om dubbele belasting te voorkomen. Aan de noodzaak daarvan bestaat geen twijfel. Wel is het besef doorgedrongen dat belastingverdragen soms gebruikt worden om nergens belasting te betalen. De notie dat dat niet de bedoeling is zal duidelijker in de considerans van het OESO Modelverdrag en in toekomstige bilaterale verdragen tot uitdrukking worden gebracht.</w:t>
      </w:r>
    </w:p>
    <w:p w:rsidR="00201129" w:rsidRDefault="00201129" w:rsidP="00A7553F">
      <w:r>
        <w:t>De vorm van verdragsmisbruik die het meeste zorgen baart</w:t>
      </w:r>
      <w:r w:rsidR="00CE697E">
        <w:t>,</w:t>
      </w:r>
      <w:r>
        <w:t xml:space="preserve"> is het zogenoemde treaty shopping. Daarvan is sprake in de volgende situatie. Een inwoner van woonland R overweegt een investering</w:t>
      </w:r>
      <w:r>
        <w:rPr>
          <w:rStyle w:val="Voetnootmarkering"/>
        </w:rPr>
        <w:footnoteReference w:id="8"/>
      </w:r>
      <w:r>
        <w:t xml:space="preserve"> in bronland S. Tussen de Staten R en S bestaat geen belastingverdrag. Dat betekent </w:t>
      </w:r>
      <w:r w:rsidR="00864992">
        <w:t xml:space="preserve">in veel gevallen </w:t>
      </w:r>
      <w:r>
        <w:t>dat Staat S op de uitgekeerde vergoedingen</w:t>
      </w:r>
      <w:r>
        <w:rPr>
          <w:rStyle w:val="Voetnootmarkering"/>
        </w:rPr>
        <w:footnoteReference w:id="9"/>
      </w:r>
      <w:r>
        <w:t xml:space="preserve"> een bronbelasting heft. Deze bronbelasting is mogelijk niet verrekenbaar in de woonstaat</w:t>
      </w:r>
      <w:r w:rsidR="00942212">
        <w:t>,</w:t>
      </w:r>
      <w:r>
        <w:t xml:space="preserve"> wat het rendement op de investering verkleint. De investeerder kan nu een dochtermaatschappij oprichten in een land T dat zowel met Staat R als met Staat S een belastingverdrag heeft dat voorziet in de verlaging van die bronbelasting. In volstrekt kunstmatige structuren wordt het bilaterale karakter van verdrag</w:t>
      </w:r>
      <w:r w:rsidR="00F47967">
        <w:t>en</w:t>
      </w:r>
      <w:r>
        <w:t xml:space="preserve"> geweld aangedaan door een beroep op de </w:t>
      </w:r>
      <w:r w:rsidR="00F47967">
        <w:t xml:space="preserve">beide </w:t>
      </w:r>
      <w:r>
        <w:t>verdragen met Staat T.</w:t>
      </w:r>
    </w:p>
    <w:p w:rsidR="00201129" w:rsidRDefault="00201129" w:rsidP="00A7553F"/>
    <w:p w:rsidR="00201129" w:rsidRDefault="00201129" w:rsidP="00A7553F">
      <w:r>
        <w:t>In het kader van BEPS wordt gewerkt aan anti-misbruikbepalingen die in het OESO Modelverdrag en daarna in bilaterale verdragen opgenomen kunnen worden. Die bepalingen kunnen drie vormen aannemen, of elke combinatie daar</w:t>
      </w:r>
      <w:r w:rsidR="00942212">
        <w:t>van</w:t>
      </w:r>
      <w:r>
        <w:t>.</w:t>
      </w:r>
    </w:p>
    <w:p w:rsidR="00201129" w:rsidRDefault="00201129" w:rsidP="00A7553F">
      <w:r>
        <w:t>Een zogenoemde limitation on benefits (LoB) maakt het recht op verdragsvoordelen afhankelijk van een aantal eigenschappen van de belastingplichtige. De principle purpose test (PPT) zoekt aansluiting bij de primaire redenen voor belastingplichtige om de gekozen structuur te gebruiken. Ten slotte worden anti-doorstroom-bepalingen genoemd die kijken naar de mate waarin geldstromen doorbetaald worden aan achterliggende belanghebbenden.</w:t>
      </w:r>
    </w:p>
    <w:p w:rsidR="00201129" w:rsidRDefault="007B3BE7" w:rsidP="00A7553F">
      <w:r>
        <w:t xml:space="preserve">In mei van dit jaar heeft de OESO een nieuw rapport gepubliceerd, waarin een aantal vraagpunten rond de aanpak van verdragsmisbruik worden behandeld. </w:t>
      </w:r>
      <w:r w:rsidRPr="00FC2E3D">
        <w:t xml:space="preserve">De publicatie van dit rapport geeft de mogelijkheid aan </w:t>
      </w:r>
      <w:r>
        <w:t>het publiek</w:t>
      </w:r>
      <w:r w:rsidRPr="00FC2E3D">
        <w:t xml:space="preserve"> om </w:t>
      </w:r>
      <w:r w:rsidR="00864992">
        <w:t>een</w:t>
      </w:r>
      <w:r w:rsidRPr="00FC2E3D">
        <w:t xml:space="preserve"> zienswijze kenbaar te maken. </w:t>
      </w:r>
      <w:r>
        <w:t xml:space="preserve">Deze input kan worden gebruikt bij het definitief vormgeven van de </w:t>
      </w:r>
      <w:r>
        <w:lastRenderedPageBreak/>
        <w:t>voorgestelde maatregelen. Het is de bedoeling dat de maatregelen eind 2015 hun beslag krijgen in het OESO Modelverdrag.</w:t>
      </w:r>
    </w:p>
    <w:p w:rsidR="00201129" w:rsidRDefault="00201129" w:rsidP="00A7553F"/>
    <w:p w:rsidR="00201129" w:rsidRDefault="00201129" w:rsidP="00A7553F">
      <w:r>
        <w:t>Een vergelijkbaar risico van misbruik bestaat bij een beroep op de Europese Moeder-</w:t>
      </w:r>
      <w:r w:rsidR="008830EF">
        <w:t>D</w:t>
      </w:r>
      <w:r>
        <w:t xml:space="preserve">ochterrichtlijn of op de Interest en </w:t>
      </w:r>
      <w:r w:rsidR="008830EF">
        <w:t>R</w:t>
      </w:r>
      <w:r>
        <w:t>oyaltyrichtlijn. Om dat risico te kunnen bestrijden is in 2015 een algemene anti-misbruikmaatregel in de Moeder-dochterrichtlijn opgenomen</w:t>
      </w:r>
      <w:r>
        <w:rPr>
          <w:rStyle w:val="Voetnootmarkering"/>
        </w:rPr>
        <w:footnoteReference w:id="10"/>
      </w:r>
      <w:r>
        <w:t xml:space="preserve"> en zijn er plannen om een dergelijke bepaling in de Interest en royaltyrichtlijn op te nemen. </w:t>
      </w:r>
    </w:p>
    <w:p w:rsidR="00201129" w:rsidRDefault="00201129" w:rsidP="00A7553F"/>
    <w:p w:rsidR="00201129" w:rsidRDefault="00201129" w:rsidP="004E6C23">
      <w:pPr>
        <w:spacing w:line="240" w:lineRule="auto"/>
        <w:rPr>
          <w:b/>
          <w:bCs/>
          <w:u w:val="single"/>
          <w:lang w:eastAsia="zh-CN"/>
        </w:rPr>
      </w:pPr>
      <w:r w:rsidRPr="00795EE7">
        <w:rPr>
          <w:b/>
          <w:bCs/>
          <w:u w:val="single"/>
          <w:lang w:eastAsia="zh-CN"/>
        </w:rPr>
        <w:t xml:space="preserve">Vaste inrichtingen </w:t>
      </w:r>
    </w:p>
    <w:p w:rsidR="00201129" w:rsidRDefault="00201129" w:rsidP="00942212">
      <w:pPr>
        <w:spacing w:line="240" w:lineRule="exact"/>
      </w:pPr>
      <w:r>
        <w:t>Bij de verdeling van heffingsrechten tussen landen speelt het begrip vaste inrichting een rol. Pas wanneer een onderneming die inwoner is van het ene land (het woonland), in het andere land (het bronland) zoveel activiteiten vervult dat sprake is van een vaste inrichting, mag het bronland de winsten van die vaste inrichting belasten. Zo niet</w:t>
      </w:r>
      <w:r w:rsidR="00CE697E">
        <w:t>,</w:t>
      </w:r>
      <w:r>
        <w:t xml:space="preserve"> dan mag alleen het woonland de winsten belasten.</w:t>
      </w:r>
    </w:p>
    <w:p w:rsidR="00201129" w:rsidRDefault="00201129" w:rsidP="00942212">
      <w:pPr>
        <w:spacing w:line="240" w:lineRule="exact"/>
      </w:pPr>
      <w:r>
        <w:t xml:space="preserve">Ook hier bestaat het gevaar dat de contractuele </w:t>
      </w:r>
      <w:r w:rsidR="00EB1CDC">
        <w:t>vorm</w:t>
      </w:r>
      <w:r>
        <w:t xml:space="preserve"> leidt tot een ongewenste verdeling van heffingsrechten tussen betrokken landen.</w:t>
      </w:r>
    </w:p>
    <w:p w:rsidR="00201129" w:rsidRDefault="00201129" w:rsidP="00942212">
      <w:pPr>
        <w:spacing w:line="240" w:lineRule="exact"/>
      </w:pPr>
      <w:r>
        <w:t xml:space="preserve">Een van de doelstellingen van het BEPS project bestaat uit het voorkomen dat het vaste inrichtingsbegrip kunstmatig wordt ontgaan. </w:t>
      </w:r>
    </w:p>
    <w:p w:rsidR="007B3BE7" w:rsidRDefault="00201129" w:rsidP="00942212">
      <w:pPr>
        <w:spacing w:line="240" w:lineRule="exact"/>
      </w:pPr>
      <w:r>
        <w:t xml:space="preserve">De belangrijkste zorgen richten zich op </w:t>
      </w:r>
      <w:r w:rsidRPr="00FC2E3D">
        <w:t>commissionairsstructuren (</w:t>
      </w:r>
      <w:r>
        <w:t>waarbij contracten grotendeels worden onderhandeld</w:t>
      </w:r>
      <w:r w:rsidRPr="00FC2E3D">
        <w:t xml:space="preserve"> </w:t>
      </w:r>
      <w:r>
        <w:t>in het bronland, maar uiteinde</w:t>
      </w:r>
      <w:r w:rsidR="004065B2">
        <w:t>lijk de</w:t>
      </w:r>
      <w:r>
        <w:t xml:space="preserve"> formele, afronding in het woonland plaats vindt</w:t>
      </w:r>
      <w:r w:rsidRPr="00FC2E3D">
        <w:t>)</w:t>
      </w:r>
      <w:r>
        <w:t>, op het opsplitsen van activiteiten of contracten en</w:t>
      </w:r>
      <w:r w:rsidRPr="00FC2E3D">
        <w:t xml:space="preserve"> </w:t>
      </w:r>
      <w:r>
        <w:t>op de uitzonderingen</w:t>
      </w:r>
      <w:r w:rsidRPr="00FC2E3D">
        <w:t xml:space="preserve"> voor specifieke activiteiten (bijvoorbeeld opslag van goederen).</w:t>
      </w:r>
      <w:r>
        <w:t xml:space="preserve"> </w:t>
      </w:r>
    </w:p>
    <w:p w:rsidR="00201129" w:rsidRDefault="007B3BE7" w:rsidP="00942212">
      <w:pPr>
        <w:spacing w:line="240" w:lineRule="exact"/>
      </w:pPr>
      <w:r>
        <w:t xml:space="preserve">Ook over dit onderwerp </w:t>
      </w:r>
      <w:r w:rsidR="00201129">
        <w:t xml:space="preserve">heeft de OESO </w:t>
      </w:r>
      <w:r>
        <w:t xml:space="preserve">in mei </w:t>
      </w:r>
      <w:r w:rsidR="00201129">
        <w:t>een nieuw rapport gepubliceerd, waarin maatregelen worden voorgesteld die dit kunstmatige ontgaan van het vaste inricht</w:t>
      </w:r>
      <w:r w:rsidR="00822D07">
        <w:t>ingsbegrip beogen te voorkomen en waarin om reacties wordt gevraagd.</w:t>
      </w:r>
    </w:p>
    <w:p w:rsidR="00201129" w:rsidRDefault="00201129">
      <w:pPr>
        <w:spacing w:line="240" w:lineRule="auto"/>
        <w:rPr>
          <w:b/>
          <w:bCs/>
        </w:rPr>
      </w:pPr>
    </w:p>
    <w:p w:rsidR="004065B2" w:rsidRDefault="004065B2" w:rsidP="00A7553F">
      <w:pPr>
        <w:rPr>
          <w:sz w:val="32"/>
          <w:szCs w:val="32"/>
          <w:lang w:eastAsia="zh-CN"/>
        </w:rPr>
      </w:pPr>
    </w:p>
    <w:p w:rsidR="004065B2" w:rsidRDefault="004065B2" w:rsidP="00A7553F">
      <w:pPr>
        <w:rPr>
          <w:sz w:val="32"/>
          <w:szCs w:val="32"/>
          <w:lang w:eastAsia="zh-CN"/>
        </w:rPr>
      </w:pPr>
    </w:p>
    <w:p w:rsidR="00C61A8A" w:rsidRDefault="00C61A8A">
      <w:pPr>
        <w:spacing w:line="240" w:lineRule="auto"/>
        <w:rPr>
          <w:sz w:val="32"/>
          <w:szCs w:val="32"/>
          <w:lang w:eastAsia="zh-CN"/>
        </w:rPr>
      </w:pPr>
      <w:r>
        <w:rPr>
          <w:sz w:val="32"/>
          <w:szCs w:val="32"/>
          <w:lang w:eastAsia="zh-CN"/>
        </w:rPr>
        <w:br w:type="page"/>
      </w:r>
    </w:p>
    <w:p w:rsidR="00201129" w:rsidRPr="00795EE7" w:rsidRDefault="00201129" w:rsidP="00A7553F">
      <w:pPr>
        <w:rPr>
          <w:sz w:val="32"/>
          <w:szCs w:val="32"/>
          <w:lang w:eastAsia="zh-CN"/>
        </w:rPr>
      </w:pPr>
      <w:r w:rsidRPr="00795EE7">
        <w:rPr>
          <w:sz w:val="32"/>
          <w:szCs w:val="32"/>
          <w:lang w:eastAsia="zh-CN"/>
        </w:rPr>
        <w:lastRenderedPageBreak/>
        <w:t>Transparantie</w:t>
      </w:r>
    </w:p>
    <w:p w:rsidR="00BA3ABE" w:rsidRDefault="00BA3ABE" w:rsidP="00A7553F"/>
    <w:p w:rsidR="00201129" w:rsidRDefault="00201129" w:rsidP="00A7553F">
      <w:r>
        <w:t>Een belangrijke manier om belastingontwijking tegen te gaan bestaat uit het delen van relevante informatie tussen belastingdiensten van verschillende landen. Op dat gebied zijn de laatste jaren grote vorderingen gemaakt. Vorig jaar is binnen de OESO overeenstemming bereikt over de Common Reporting Standards en zijn multilaterale afspraken gemaakt over de automatische uitwisseling van informatie.</w:t>
      </w:r>
    </w:p>
    <w:p w:rsidR="00201129" w:rsidRDefault="00201129" w:rsidP="00A7553F">
      <w:r>
        <w:t xml:space="preserve">Binnen de EU en de OESO staan verschillende initiatieven op de agenda om transparantie verder te bevorderen met als doel het tegengaan van BEPS. </w:t>
      </w:r>
    </w:p>
    <w:p w:rsidR="00422321" w:rsidRDefault="00422321" w:rsidP="00A7553F"/>
    <w:p w:rsidR="00201129" w:rsidRPr="00795EE7" w:rsidRDefault="00201129" w:rsidP="00795EE7">
      <w:pPr>
        <w:spacing w:line="240" w:lineRule="auto"/>
        <w:rPr>
          <w:b/>
          <w:bCs/>
          <w:u w:val="single"/>
          <w:lang w:eastAsia="zh-CN"/>
        </w:rPr>
      </w:pPr>
      <w:r w:rsidRPr="00795EE7">
        <w:rPr>
          <w:b/>
          <w:bCs/>
          <w:u w:val="single"/>
          <w:lang w:eastAsia="zh-CN"/>
        </w:rPr>
        <w:t>Uitwisseling van informatie over rulings</w:t>
      </w:r>
    </w:p>
    <w:p w:rsidR="00201129" w:rsidRDefault="00201129" w:rsidP="00A7553F">
      <w:r>
        <w:t xml:space="preserve">Binnen de discussie over transparantie en uitwisseling van informatie is het accent komen te liggen op de (spontane) uitwisseling van </w:t>
      </w:r>
      <w:r w:rsidR="004C4655">
        <w:t xml:space="preserve">informatie over </w:t>
      </w:r>
      <w:r>
        <w:t xml:space="preserve">rulings. Voor de bestrijding van belastingontwijking kan het van belang zijn te weten waarover een belastingplichtige van een andere belastingdienst zekerheid vooraf heeft gekregen. </w:t>
      </w:r>
    </w:p>
    <w:p w:rsidR="00201129" w:rsidRDefault="00201129" w:rsidP="00A7553F"/>
    <w:p w:rsidR="00201129" w:rsidRPr="000E7823" w:rsidRDefault="00201129" w:rsidP="00A7553F">
      <w:pPr>
        <w:rPr>
          <w:i/>
          <w:iCs/>
        </w:rPr>
      </w:pPr>
      <w:r w:rsidRPr="000E7823">
        <w:rPr>
          <w:i/>
          <w:iCs/>
        </w:rPr>
        <w:t>EU</w:t>
      </w:r>
    </w:p>
    <w:p w:rsidR="00201129" w:rsidRDefault="00201129" w:rsidP="00A7553F">
      <w:pPr>
        <w:rPr>
          <w:lang w:eastAsia="zh-CN"/>
        </w:rPr>
      </w:pPr>
      <w:r>
        <w:t xml:space="preserve">Op 18 maart 2015 heeft de EU een richtlijnvoorstel over automatische uitwisseling van informatie over rulings bekend gemaakt. Volgens dat voorstel zullen EU lidstaten in eerste instantie globale informatie uitwisselen over elke afgesloten grensoverschrijdende ruling </w:t>
      </w:r>
      <w:r w:rsidRPr="00B11964">
        <w:t>aan alle andere EU lidstaten.</w:t>
      </w:r>
      <w:r>
        <w:t xml:space="preserve"> Een andere lidstaat kan in gevallen waarin dat voor </w:t>
      </w:r>
      <w:r w:rsidR="009C4FF8">
        <w:t>hem</w:t>
      </w:r>
      <w:r>
        <w:t xml:space="preserve"> relevant is om </w:t>
      </w:r>
      <w:r>
        <w:rPr>
          <w:lang w:eastAsia="zh-CN"/>
        </w:rPr>
        <w:t>nadere inf</w:t>
      </w:r>
      <w:r w:rsidR="00822D07">
        <w:rPr>
          <w:lang w:eastAsia="zh-CN"/>
        </w:rPr>
        <w:t>ormatie over die ruling vragen.</w:t>
      </w:r>
    </w:p>
    <w:p w:rsidR="00201129" w:rsidRDefault="00201129" w:rsidP="00494A7B">
      <w:pPr>
        <w:rPr>
          <w:lang w:eastAsia="zh-CN"/>
        </w:rPr>
      </w:pPr>
    </w:p>
    <w:p w:rsidR="00201129" w:rsidRDefault="00201129" w:rsidP="00A7553F"/>
    <w:p w:rsidR="00201129" w:rsidRPr="000E7823" w:rsidRDefault="00201129" w:rsidP="00A7553F">
      <w:pPr>
        <w:rPr>
          <w:i/>
          <w:iCs/>
        </w:rPr>
      </w:pPr>
      <w:r w:rsidRPr="000E7823">
        <w:rPr>
          <w:i/>
          <w:iCs/>
        </w:rPr>
        <w:t>OESO</w:t>
      </w:r>
    </w:p>
    <w:p w:rsidR="00201129" w:rsidRDefault="00822D07" w:rsidP="00A7553F">
      <w:r>
        <w:t>Ook bij</w:t>
      </w:r>
      <w:r w:rsidR="00201129">
        <w:t xml:space="preserve"> het Forum on Harmful Tax Practices staat transparantie over preferenti</w:t>
      </w:r>
      <w:r w:rsidR="00201129">
        <w:rPr>
          <w:rFonts w:ascii="Arial Unicode MS"/>
        </w:rPr>
        <w:t>ë</w:t>
      </w:r>
      <w:r w:rsidR="00201129">
        <w:t>le regimes op de agenda. Naast uitwisseling van informatie over rulings over preferentiële regimes, zoals de innovatiebox, is besloten dat landen ook informatie gaan uitwisselen over andere categorieën rulings, zoals APA’s en bepaalde ATR’s. Zowel informatie over bestaande als over nieuwe rulings zal worden uitgewisseld. Momenteel wordt invulling gegeven aan hoe deze uitwisseling van informatie over rulings er precies uit zal zien.</w:t>
      </w:r>
      <w:r w:rsidR="00BE7B39">
        <w:t xml:space="preserve"> </w:t>
      </w:r>
    </w:p>
    <w:p w:rsidR="00201129" w:rsidRDefault="00201129" w:rsidP="00A7553F"/>
    <w:p w:rsidR="00201129" w:rsidRPr="00795EE7" w:rsidRDefault="00201129" w:rsidP="00506409">
      <w:pPr>
        <w:spacing w:line="240" w:lineRule="auto"/>
        <w:rPr>
          <w:b/>
          <w:bCs/>
          <w:u w:val="single"/>
          <w:lang w:eastAsia="zh-CN"/>
        </w:rPr>
      </w:pPr>
      <w:r>
        <w:rPr>
          <w:b/>
          <w:bCs/>
          <w:u w:val="single"/>
          <w:lang w:eastAsia="zh-CN"/>
        </w:rPr>
        <w:t>Documen</w:t>
      </w:r>
      <w:r w:rsidR="005271AE">
        <w:rPr>
          <w:b/>
          <w:bCs/>
          <w:u w:val="single"/>
          <w:lang w:eastAsia="zh-CN"/>
        </w:rPr>
        <w:t>ta</w:t>
      </w:r>
      <w:r>
        <w:rPr>
          <w:b/>
          <w:bCs/>
          <w:u w:val="single"/>
          <w:lang w:eastAsia="zh-CN"/>
        </w:rPr>
        <w:t>tieverplichtingen verrekenprijzen</w:t>
      </w:r>
    </w:p>
    <w:p w:rsidR="00201129" w:rsidRDefault="00201129" w:rsidP="00822D07">
      <w:pPr>
        <w:spacing w:line="240" w:lineRule="exact"/>
        <w:rPr>
          <w:lang w:eastAsia="zh-CN"/>
        </w:rPr>
      </w:pPr>
      <w:r>
        <w:rPr>
          <w:lang w:eastAsia="zh-CN"/>
        </w:rPr>
        <w:t xml:space="preserve">De aanbeveling voor de uitbreiding en harmonisering van de documentatieverplichtingen voor verrekenprijzen is het concrete resultaat van actiepunt 13 van het BEPS project. De nieuwe regels </w:t>
      </w:r>
      <w:r w:rsidR="000E4FA1">
        <w:rPr>
          <w:lang w:eastAsia="zh-CN"/>
        </w:rPr>
        <w:t xml:space="preserve">zullen </w:t>
      </w:r>
      <w:r>
        <w:rPr>
          <w:lang w:eastAsia="zh-CN"/>
        </w:rPr>
        <w:t xml:space="preserve">gaan gelden voor boekjaren die aanvangen op of na 1 januari 2016. </w:t>
      </w:r>
      <w:r w:rsidR="000E4FA1" w:rsidRPr="000E4FA1">
        <w:rPr>
          <w:lang w:eastAsia="zh-CN"/>
        </w:rPr>
        <w:t>Nederland is begonnen met de voorbereidingen om deze afspraken in wetgeving neer te leggen.</w:t>
      </w:r>
    </w:p>
    <w:p w:rsidR="00201129" w:rsidRPr="00B52B1C" w:rsidRDefault="00201129" w:rsidP="00822D07">
      <w:pPr>
        <w:spacing w:line="240" w:lineRule="exact"/>
        <w:rPr>
          <w:lang w:eastAsia="zh-CN"/>
        </w:rPr>
      </w:pPr>
    </w:p>
    <w:p w:rsidR="00BE7B39" w:rsidRDefault="00201129" w:rsidP="00822D07">
      <w:pPr>
        <w:spacing w:line="240" w:lineRule="exact"/>
        <w:rPr>
          <w:lang w:eastAsia="zh-CN"/>
        </w:rPr>
      </w:pPr>
      <w:r>
        <w:rPr>
          <w:lang w:eastAsia="zh-CN"/>
        </w:rPr>
        <w:t xml:space="preserve">In de aanbeveling staat dat er een verplichting moet komen voor multinationale ondernemingen met een omzet vanaf € 750 miljoen om een country-by-country rapport op te stellen. In dit document, naar model van de OESO, staat schematisch onder andere de wereldwijde fiscale winstverdeling en betaalde belasting. Belastingdiensten zullen deze informatie vooral gebruiken ten behoeve van risicoselectie voor verrekenprijzen. Het hoofdkantoor van de multinationale onderneming stuurt dit rapport aan de belastingdienst in het land van zijn vestiging. De belastingdienst </w:t>
      </w:r>
      <w:r w:rsidR="00822D07">
        <w:rPr>
          <w:lang w:eastAsia="zh-CN"/>
        </w:rPr>
        <w:t xml:space="preserve">daar </w:t>
      </w:r>
      <w:r>
        <w:rPr>
          <w:lang w:eastAsia="zh-CN"/>
        </w:rPr>
        <w:t xml:space="preserve">stuurt deze informatie vervolgens automatisch door aan alle landen waar de multinationale onderneming vestigingen heeft. </w:t>
      </w:r>
    </w:p>
    <w:p w:rsidR="00BE7B39" w:rsidRDefault="00BE7B39" w:rsidP="00822D07">
      <w:pPr>
        <w:spacing w:line="240" w:lineRule="exact"/>
        <w:rPr>
          <w:lang w:eastAsia="zh-CN"/>
        </w:rPr>
      </w:pPr>
    </w:p>
    <w:p w:rsidR="00201129" w:rsidRDefault="00201129" w:rsidP="00822D07">
      <w:pPr>
        <w:spacing w:line="240" w:lineRule="exact"/>
        <w:rPr>
          <w:lang w:eastAsia="zh-CN"/>
        </w:rPr>
      </w:pPr>
      <w:r>
        <w:rPr>
          <w:lang w:eastAsia="zh-CN"/>
        </w:rPr>
        <w:lastRenderedPageBreak/>
        <w:t>Daarnaast is het de bedoeling dat landen in hun wetgeving opnemen dat multinationale ondernemingen een masterfile en een local file moeten opstellen. In de masterfile staat een overzicht van het transfer pricing beleid voor de hele groep. In de local file worden de intragroep transacties van de locale vestiging gedocumenteerd. Ook voor de inhoud van master file en local file hee</w:t>
      </w:r>
      <w:r w:rsidR="00BA69CE">
        <w:rPr>
          <w:lang w:eastAsia="zh-CN"/>
        </w:rPr>
        <w:t>ft de OESO een model opgesteld.</w:t>
      </w:r>
    </w:p>
    <w:p w:rsidR="00201129" w:rsidRDefault="00201129" w:rsidP="00822D07">
      <w:pPr>
        <w:spacing w:line="240" w:lineRule="exact"/>
        <w:rPr>
          <w:highlight w:val="yellow"/>
          <w:u w:val="single"/>
          <w:lang w:eastAsia="zh-CN"/>
        </w:rPr>
      </w:pPr>
    </w:p>
    <w:p w:rsidR="008830EF" w:rsidRPr="00102011" w:rsidRDefault="008830EF" w:rsidP="00822D07">
      <w:pPr>
        <w:spacing w:line="240" w:lineRule="exact"/>
        <w:rPr>
          <w:highlight w:val="yellow"/>
          <w:u w:val="single"/>
          <w:lang w:eastAsia="zh-CN"/>
        </w:rPr>
      </w:pPr>
    </w:p>
    <w:p w:rsidR="008830EF" w:rsidRDefault="008830EF" w:rsidP="00FE1595">
      <w:pPr>
        <w:spacing w:line="240" w:lineRule="exact"/>
        <w:rPr>
          <w:b/>
          <w:bCs/>
          <w:u w:val="single"/>
          <w:lang w:eastAsia="zh-CN"/>
        </w:rPr>
      </w:pPr>
      <w:r w:rsidRPr="00BE7046">
        <w:rPr>
          <w:b/>
          <w:bCs/>
          <w:u w:val="single"/>
          <w:lang w:eastAsia="zh-CN"/>
        </w:rPr>
        <w:t>T</w:t>
      </w:r>
      <w:r>
        <w:rPr>
          <w:b/>
          <w:bCs/>
          <w:u w:val="single"/>
          <w:lang w:eastAsia="zh-CN"/>
        </w:rPr>
        <w:t xml:space="preserve">ot </w:t>
      </w:r>
      <w:r w:rsidRPr="00BE7046">
        <w:rPr>
          <w:b/>
          <w:bCs/>
          <w:u w:val="single"/>
          <w:lang w:eastAsia="zh-CN"/>
        </w:rPr>
        <w:t>slot</w:t>
      </w:r>
    </w:p>
    <w:p w:rsidR="00EC0163" w:rsidRDefault="008830EF" w:rsidP="00EC0163">
      <w:pPr>
        <w:spacing w:line="240" w:lineRule="exact"/>
        <w:rPr>
          <w:lang w:eastAsia="zh-CN"/>
        </w:rPr>
      </w:pPr>
      <w:r w:rsidRPr="00B11964">
        <w:rPr>
          <w:lang w:eastAsia="zh-CN"/>
        </w:rPr>
        <w:t>Als bijlage bij deze brief stuur ik u een afschrift van de brief die ik, mede namens de minister van Veiligheid en Justitie, heb gestuurd aan de Europese Commissie over publieke country-by-country reporting. Namens het kabinet heb ik de Europese Commissie verzocht prioriteit te geven aan het onderzoek naar de impact van de uitbreiding van publieke country-by-country reporting voor banken naar alle multinationale ondernemingen. Met deze brief geef ik tevens invulling aan de motie-Merkies/Klaver/Schouten</w:t>
      </w:r>
      <w:r w:rsidRPr="00365D78">
        <w:rPr>
          <w:rStyle w:val="Voetnootmarkering"/>
        </w:rPr>
        <w:footnoteReference w:id="11"/>
      </w:r>
      <w:r w:rsidRPr="00365D78">
        <w:rPr>
          <w:rStyle w:val="Voetnootmarkering"/>
        </w:rPr>
        <w:t xml:space="preserve">. </w:t>
      </w:r>
      <w:r w:rsidRPr="00DA41D6">
        <w:rPr>
          <w:lang w:eastAsia="zh-CN"/>
        </w:rPr>
        <w:t xml:space="preserve"> </w:t>
      </w:r>
    </w:p>
    <w:p w:rsidR="00201129" w:rsidRPr="00AD5FE9" w:rsidRDefault="008830EF" w:rsidP="00EC0163">
      <w:pPr>
        <w:spacing w:line="320" w:lineRule="exact"/>
        <w:rPr>
          <w:sz w:val="32"/>
          <w:szCs w:val="32"/>
          <w:lang w:eastAsia="zh-CN"/>
        </w:rPr>
      </w:pPr>
      <w:r w:rsidRPr="00DA41D6">
        <w:rPr>
          <w:lang w:eastAsia="zh-CN"/>
        </w:rPr>
        <w:t xml:space="preserve">       </w:t>
      </w:r>
      <w:r>
        <w:rPr>
          <w:lang w:eastAsia="zh-CN"/>
        </w:rPr>
        <w:t xml:space="preserve">  </w:t>
      </w:r>
      <w:r w:rsidR="00201129">
        <w:rPr>
          <w:lang w:eastAsia="zh-CN"/>
        </w:rPr>
        <w:br w:type="page"/>
      </w:r>
      <w:r w:rsidR="00201129" w:rsidRPr="00AD5FE9">
        <w:rPr>
          <w:sz w:val="32"/>
          <w:szCs w:val="32"/>
          <w:lang w:eastAsia="zh-CN"/>
        </w:rPr>
        <w:lastRenderedPageBreak/>
        <w:t>Implementatie</w:t>
      </w:r>
    </w:p>
    <w:p w:rsidR="00201129" w:rsidRDefault="00201129" w:rsidP="007E79E4">
      <w:pPr>
        <w:spacing w:line="240" w:lineRule="auto"/>
        <w:rPr>
          <w:lang w:eastAsia="zh-CN"/>
        </w:rPr>
      </w:pPr>
    </w:p>
    <w:p w:rsidR="00201129" w:rsidRPr="001D3BA5" w:rsidRDefault="00201129" w:rsidP="001D3BA5">
      <w:pPr>
        <w:spacing w:line="240" w:lineRule="auto"/>
        <w:rPr>
          <w:b/>
          <w:bCs/>
          <w:u w:val="single"/>
          <w:lang w:eastAsia="zh-CN"/>
        </w:rPr>
      </w:pPr>
      <w:r w:rsidRPr="001D3BA5">
        <w:rPr>
          <w:b/>
          <w:bCs/>
          <w:u w:val="single"/>
          <w:lang w:eastAsia="zh-CN"/>
        </w:rPr>
        <w:t>OESO Multilateraal instrument</w:t>
      </w:r>
    </w:p>
    <w:p w:rsidR="00201129" w:rsidRDefault="00201129" w:rsidP="00AD5FE9">
      <w:pPr>
        <w:rPr>
          <w:lang w:eastAsia="zh-CN"/>
        </w:rPr>
      </w:pPr>
      <w:r>
        <w:rPr>
          <w:lang w:eastAsia="zh-CN"/>
        </w:rPr>
        <w:t xml:space="preserve">Wanneer in de internationale gemeenschap overeenstemming wordt bereikt over de beste wijze waarop belastingontwijking kan worden bestreden, moeten deze maatregelen nog ingevoerd worden. Het kabinet heeft zich consequent uitgesproken voor de implementatie van deze maatregelen in een vorm die alle betrokken landen op eenzelfde manier bindt. Door afspraken in de vorm van ‘hard law’ wordt een gelijk speelveld gegarandeerd. </w:t>
      </w:r>
    </w:p>
    <w:p w:rsidR="00201129" w:rsidRDefault="00201129" w:rsidP="00AD5FE9">
      <w:pPr>
        <w:rPr>
          <w:lang w:eastAsia="zh-CN"/>
        </w:rPr>
      </w:pPr>
      <w:r>
        <w:rPr>
          <w:lang w:eastAsia="zh-CN"/>
        </w:rPr>
        <w:t>In het kader van het BEPS project wordt onderzocht wat de mogelijkheden zijn van een multilateraal instrument. Een groep van niet landgebonden deskundigen heeft een vooronderzoek gedaan en op zeer korte termijn zal</w:t>
      </w:r>
      <w:r w:rsidR="004C4655">
        <w:rPr>
          <w:lang w:eastAsia="zh-CN"/>
        </w:rPr>
        <w:t xml:space="preserve"> een werkgroep van l</w:t>
      </w:r>
      <w:r w:rsidR="008061D7">
        <w:rPr>
          <w:lang w:eastAsia="zh-CN"/>
        </w:rPr>
        <w:t>anden</w:t>
      </w:r>
      <w:r w:rsidR="004C4655">
        <w:rPr>
          <w:lang w:eastAsia="zh-CN"/>
        </w:rPr>
        <w:t xml:space="preserve"> het instrument uitwerken</w:t>
      </w:r>
      <w:r>
        <w:rPr>
          <w:lang w:eastAsia="zh-CN"/>
        </w:rPr>
        <w:t xml:space="preserve">. </w:t>
      </w:r>
    </w:p>
    <w:p w:rsidR="00201129" w:rsidRDefault="00201129" w:rsidP="00AD5FE9">
      <w:pPr>
        <w:rPr>
          <w:lang w:eastAsia="zh-CN"/>
        </w:rPr>
      </w:pPr>
    </w:p>
    <w:p w:rsidR="00201129" w:rsidRPr="00E47D54" w:rsidRDefault="00201129" w:rsidP="000559F7">
      <w:pPr>
        <w:spacing w:line="240" w:lineRule="auto"/>
        <w:rPr>
          <w:b/>
          <w:bCs/>
          <w:u w:val="single"/>
          <w:lang w:eastAsia="zh-CN"/>
        </w:rPr>
      </w:pPr>
      <w:r w:rsidRPr="00E47D54">
        <w:rPr>
          <w:b/>
          <w:bCs/>
          <w:u w:val="single"/>
          <w:lang w:eastAsia="zh-CN"/>
        </w:rPr>
        <w:t>Europese Unie</w:t>
      </w:r>
    </w:p>
    <w:p w:rsidR="00201129" w:rsidRDefault="00201129" w:rsidP="000559F7">
      <w:pPr>
        <w:tabs>
          <w:tab w:val="left" w:pos="0"/>
        </w:tabs>
      </w:pPr>
      <w:r w:rsidRPr="000559F7">
        <w:t xml:space="preserve">Een </w:t>
      </w:r>
      <w:r>
        <w:t xml:space="preserve">aantal van de hierboven genoemde maatregelen zou binnen de Europese Unie een plaats kunnen krijgen </w:t>
      </w:r>
      <w:r w:rsidR="004C4655">
        <w:t>in</w:t>
      </w:r>
      <w:r>
        <w:t xml:space="preserve"> </w:t>
      </w:r>
      <w:r w:rsidR="00BE7B39">
        <w:t xml:space="preserve">een </w:t>
      </w:r>
      <w:r>
        <w:t xml:space="preserve">gezamenlijke Europese benadering van internationale belasting, de Common (Consolidated) Corporate Tax Base (CCCTB). </w:t>
      </w:r>
    </w:p>
    <w:p w:rsidR="00201129" w:rsidRDefault="00201129" w:rsidP="000559F7">
      <w:pPr>
        <w:tabs>
          <w:tab w:val="left" w:pos="0"/>
        </w:tabs>
      </w:pPr>
      <w:r>
        <w:t>Een gezamenlijke benadering van de grondslag voorkomt vanzelfsprekend mismatches binnen Europa. In een dergelijke gezamenlijke grondslag zou ook plaats kunnen zijn voor afspraken</w:t>
      </w:r>
      <w:r w:rsidR="00BE7B39">
        <w:t>, over</w:t>
      </w:r>
      <w:r>
        <w:t xml:space="preserve"> beperking van renteaftrek, over toe te passen CFC-maatregelen, over beginselen van transfer pricing en over de afbakening van het vaste inrichtingbegrip.</w:t>
      </w:r>
    </w:p>
    <w:p w:rsidR="00456CFF" w:rsidRDefault="00456CFF" w:rsidP="00456CFF"/>
    <w:p w:rsidR="00456CFF" w:rsidRDefault="00456CFF" w:rsidP="00456CFF">
      <w:r w:rsidRPr="008968F4">
        <w:t xml:space="preserve">Tijdens het AO Eurogroep/Ecofin op 23 april besprak ik met uw Kamer het concept van mijn brief aan de EU-commissarissen Vestager en Moscovici </w:t>
      </w:r>
      <w:r>
        <w:t>in reactie op hun open brief over bedrijfsbelastingen, waaronder de CCCTB</w:t>
      </w:r>
      <w:r>
        <w:rPr>
          <w:rStyle w:val="Voetnootmarkering"/>
        </w:rPr>
        <w:footnoteReference w:id="12"/>
      </w:r>
      <w:r>
        <w:t>. Ik heb aangegeven dat ik het uitgangspunt van de eurocommissarissen deel dat winst moet worden belast waar waarde wordt gecreëerd. Uw Kamer heeft door middel van de motie-Klaver/Koolmees</w:t>
      </w:r>
      <w:r>
        <w:rPr>
          <w:rStyle w:val="Voetnootmarkering"/>
        </w:rPr>
        <w:footnoteReference w:id="13"/>
      </w:r>
      <w:r>
        <w:t xml:space="preserve"> ook aangegeven dit als uitgangspunt te willen nemen. Ik heb voorts bij de eurocommissarissen benadrukt dat</w:t>
      </w:r>
      <w:r w:rsidRPr="00050808">
        <w:t xml:space="preserve"> het Nederlandse kabinet, de Nederlandse Tweede Kamer en andere Europese parlementen geoordeeld </w:t>
      </w:r>
      <w:r>
        <w:t xml:space="preserve">hebben </w:t>
      </w:r>
      <w:r w:rsidRPr="00050808">
        <w:t xml:space="preserve">dat het CCCTB-voorstel uit 2011 niet verenigbaar is </w:t>
      </w:r>
      <w:r>
        <w:t>met het subsidiariteitsbeginsel. Inmiddels heb ik de brief aan de eurocommissarissen verstuurd.</w:t>
      </w:r>
    </w:p>
    <w:p w:rsidR="00456CFF" w:rsidRDefault="00456CFF" w:rsidP="00456CFF"/>
    <w:p w:rsidR="00456CFF" w:rsidRDefault="00456CFF" w:rsidP="00712AD9">
      <w:r>
        <w:t xml:space="preserve">De Europese Commissie heeft in haar Werkprogramma voor 2015 aangegeven spoedig haar Actieplan voor de bestrijding van belastingontwijking en belastingfraude te zullen presenteren. </w:t>
      </w:r>
      <w:r w:rsidR="0035770A">
        <w:t>Dat wordt op 17 juni aanstaande verwacht.</w:t>
      </w:r>
    </w:p>
    <w:p w:rsidR="00456CFF" w:rsidRDefault="00456CFF" w:rsidP="000559F7">
      <w:pPr>
        <w:tabs>
          <w:tab w:val="left" w:pos="0"/>
        </w:tabs>
      </w:pPr>
    </w:p>
    <w:p w:rsidR="00456CFF" w:rsidRDefault="00456CFF" w:rsidP="00456CFF">
      <w:r>
        <w:t>Wanneer het Actieplan openbaar is, zal uw Kamer zoals gebruikelijk door middel van een BNC-fiche over de appreciatie van de regering van dit Actieplan worden geïnformeerd.</w:t>
      </w:r>
    </w:p>
    <w:p w:rsidR="00456CFF" w:rsidRDefault="00456CFF" w:rsidP="00456CFF"/>
    <w:p w:rsidR="00201129" w:rsidRDefault="00201129" w:rsidP="00A7553F">
      <w:pPr>
        <w:rPr>
          <w:lang w:eastAsia="zh-CN"/>
        </w:rPr>
      </w:pPr>
    </w:p>
    <w:p w:rsidR="00201129" w:rsidRDefault="00201129" w:rsidP="00A7553F">
      <w:pPr>
        <w:rPr>
          <w:lang w:eastAsia="zh-CN"/>
        </w:rPr>
      </w:pPr>
    </w:p>
    <w:p w:rsidR="00201129" w:rsidRDefault="00201129" w:rsidP="00FF3BE8">
      <w:pPr>
        <w:rPr>
          <w:lang w:eastAsia="zh-CN"/>
        </w:rPr>
      </w:pPr>
    </w:p>
    <w:p w:rsidR="00A37663" w:rsidRDefault="00A37663">
      <w:pPr>
        <w:spacing w:line="240" w:lineRule="auto"/>
        <w:rPr>
          <w:lang w:eastAsia="zh-CN"/>
        </w:rPr>
      </w:pPr>
      <w:r>
        <w:rPr>
          <w:lang w:eastAsia="zh-CN"/>
        </w:rPr>
        <w:br w:type="page"/>
      </w:r>
    </w:p>
    <w:p w:rsidR="00921E52" w:rsidRDefault="00921E52" w:rsidP="00A7553F">
      <w:pPr>
        <w:rPr>
          <w:lang w:eastAsia="zh-CN"/>
        </w:rPr>
      </w:pPr>
    </w:p>
    <w:p w:rsidR="00A37663" w:rsidRPr="001B6EAF" w:rsidRDefault="00A37663" w:rsidP="001B6EAF">
      <w:pPr>
        <w:spacing w:line="240" w:lineRule="auto"/>
        <w:rPr>
          <w:sz w:val="32"/>
          <w:szCs w:val="32"/>
          <w:lang w:eastAsia="zh-CN"/>
        </w:rPr>
      </w:pPr>
      <w:r w:rsidRPr="001B6EAF">
        <w:rPr>
          <w:sz w:val="32"/>
          <w:szCs w:val="32"/>
          <w:lang w:eastAsia="zh-CN"/>
        </w:rPr>
        <w:t xml:space="preserve">Bijlage </w:t>
      </w:r>
    </w:p>
    <w:p w:rsidR="00A37663" w:rsidRDefault="00A37663" w:rsidP="00A7553F">
      <w:pPr>
        <w:rPr>
          <w:lang w:eastAsia="zh-CN"/>
        </w:rPr>
      </w:pPr>
    </w:p>
    <w:p w:rsidR="00A37663" w:rsidRDefault="00A37663" w:rsidP="00A7553F">
      <w:pPr>
        <w:rPr>
          <w:lang w:eastAsia="zh-CN"/>
        </w:rPr>
      </w:pPr>
    </w:p>
    <w:p w:rsidR="00A37663" w:rsidRPr="00812156" w:rsidRDefault="00A37663" w:rsidP="00A37663">
      <w:pPr>
        <w:rPr>
          <w:b/>
          <w:kern w:val="3"/>
          <w:lang w:eastAsia="zh-CN"/>
        </w:rPr>
      </w:pPr>
      <w:r w:rsidRPr="00812156">
        <w:rPr>
          <w:b/>
          <w:kern w:val="3"/>
          <w:lang w:eastAsia="zh-CN"/>
        </w:rPr>
        <w:t xml:space="preserve">SOMO-rapport </w:t>
      </w:r>
    </w:p>
    <w:p w:rsidR="00A37663" w:rsidRDefault="00A37663" w:rsidP="00A37663">
      <w:pPr>
        <w:rPr>
          <w:lang w:eastAsia="zh-CN"/>
        </w:rPr>
      </w:pPr>
    </w:p>
    <w:p w:rsidR="00A37663" w:rsidRDefault="00A37663" w:rsidP="00A37663">
      <w:pPr>
        <w:rPr>
          <w:lang w:eastAsia="zh-CN"/>
        </w:rPr>
      </w:pPr>
      <w:r>
        <w:rPr>
          <w:lang w:eastAsia="zh-CN"/>
        </w:rPr>
        <w:t>In maart van dit jaar publiceerde de Stichting Onderzoek Multinationale Ondernemingen het rapport “Fool’s Gold”. Daarin wordt gesteld dat een Canadees bedrijf in Griekenland belasting ontwijkt door gebruik te maken van Nederlandse vennootschappen.</w:t>
      </w:r>
    </w:p>
    <w:p w:rsidR="00A37663" w:rsidRDefault="00A37663" w:rsidP="00A37663">
      <w:pPr>
        <w:rPr>
          <w:lang w:eastAsia="zh-CN"/>
        </w:rPr>
      </w:pPr>
      <w:r>
        <w:rPr>
          <w:lang w:eastAsia="zh-CN"/>
        </w:rPr>
        <w:t xml:space="preserve">Uit </w:t>
      </w:r>
      <w:r w:rsidR="0082593F">
        <w:rPr>
          <w:lang w:eastAsia="zh-CN"/>
        </w:rPr>
        <w:t xml:space="preserve">mijn begeleidende </w:t>
      </w:r>
      <w:r>
        <w:rPr>
          <w:lang w:eastAsia="zh-CN"/>
        </w:rPr>
        <w:t>brief en hetgeen ik in eerdere brieven heb geschreven, blijkt dat ik de zorgen van SOMO over belastingontwijking door international opererende bedrijven deel. Bovendien moge duidelijk zijn dat er in internationaal verband, met een actieve bijdrage van Nederland, veel vooruitgang is geboekt in de ontwikkeling van maatregelen die dit tegen moeten gaan.</w:t>
      </w:r>
    </w:p>
    <w:p w:rsidR="00A37663" w:rsidRDefault="00A37663" w:rsidP="00A37663">
      <w:pPr>
        <w:rPr>
          <w:lang w:eastAsia="zh-CN"/>
        </w:rPr>
      </w:pPr>
      <w:r>
        <w:rPr>
          <w:lang w:eastAsia="zh-CN"/>
        </w:rPr>
        <w:t>Zoals bekend, kan ik niet reageren op suggesties over individuele belastingplichtigen, maar in algemene zin vind ik de kritiek van SOMO op Nederland niet terecht. Die kritiek richt zich met name op drie aspecten;</w:t>
      </w:r>
    </w:p>
    <w:p w:rsidR="00A37663" w:rsidRDefault="00A37663" w:rsidP="00A37663">
      <w:pPr>
        <w:pStyle w:val="Lijstalinea"/>
        <w:numPr>
          <w:ilvl w:val="0"/>
          <w:numId w:val="22"/>
        </w:numPr>
        <w:rPr>
          <w:lang w:eastAsia="zh-CN"/>
        </w:rPr>
      </w:pPr>
      <w:r>
        <w:rPr>
          <w:lang w:eastAsia="zh-CN"/>
        </w:rPr>
        <w:t>Het geven van rulings;</w:t>
      </w:r>
    </w:p>
    <w:p w:rsidR="00A37663" w:rsidRDefault="00A37663" w:rsidP="00A37663">
      <w:pPr>
        <w:pStyle w:val="Lijstalinea"/>
        <w:numPr>
          <w:ilvl w:val="0"/>
          <w:numId w:val="22"/>
        </w:numPr>
        <w:rPr>
          <w:lang w:eastAsia="zh-CN"/>
        </w:rPr>
      </w:pPr>
      <w:r>
        <w:rPr>
          <w:lang w:eastAsia="zh-CN"/>
        </w:rPr>
        <w:t>Lage tarieven die winstverschuiving uitlokken;</w:t>
      </w:r>
    </w:p>
    <w:p w:rsidR="00A37663" w:rsidRDefault="00A37663" w:rsidP="00A37663">
      <w:pPr>
        <w:pStyle w:val="Lijstalinea"/>
        <w:numPr>
          <w:ilvl w:val="0"/>
          <w:numId w:val="22"/>
        </w:numPr>
        <w:rPr>
          <w:lang w:eastAsia="zh-CN"/>
        </w:rPr>
      </w:pPr>
      <w:r>
        <w:rPr>
          <w:lang w:eastAsia="zh-CN"/>
        </w:rPr>
        <w:t>Lage substance-eisen aan verdragsrechten;</w:t>
      </w:r>
    </w:p>
    <w:p w:rsidR="00A37663" w:rsidRDefault="00A37663" w:rsidP="00A37663">
      <w:pPr>
        <w:rPr>
          <w:lang w:eastAsia="zh-CN"/>
        </w:rPr>
      </w:pPr>
    </w:p>
    <w:p w:rsidR="00A37663" w:rsidRDefault="00A37663" w:rsidP="00A37663">
      <w:pPr>
        <w:rPr>
          <w:lang w:eastAsia="zh-CN"/>
        </w:rPr>
      </w:pPr>
      <w:r>
        <w:rPr>
          <w:lang w:eastAsia="zh-CN"/>
        </w:rPr>
        <w:t>Rulings passen goed bij de Nederlandse toezichtsbenadering</w:t>
      </w:r>
      <w:r w:rsidRPr="00F3625A">
        <w:rPr>
          <w:lang w:eastAsia="zh-CN"/>
        </w:rPr>
        <w:t xml:space="preserve"> </w:t>
      </w:r>
      <w:r>
        <w:rPr>
          <w:lang w:eastAsia="zh-CN"/>
        </w:rPr>
        <w:t>en zijn niets anders dan het geven van zekerheid. Dat is in het fiscale niet ongebruikelijk. Zowel de Algemene Rekenkamer als de Europese Commissie vinden dat bij het afgeven van rulings volledig volgens de regels wordt gehandeld. De kritiek in het rapport op de Nederlandse rulingpraktijk mist naar mijn oordeel feitelijke grondslag</w:t>
      </w:r>
      <w:r>
        <w:rPr>
          <w:rStyle w:val="Voetnootmarkering"/>
          <w:lang w:eastAsia="zh-CN"/>
        </w:rPr>
        <w:footnoteReference w:id="14"/>
      </w:r>
      <w:r>
        <w:rPr>
          <w:lang w:eastAsia="zh-CN"/>
        </w:rPr>
        <w:t>.</w:t>
      </w:r>
    </w:p>
    <w:p w:rsidR="00A37663" w:rsidRDefault="00A37663" w:rsidP="00A37663">
      <w:pPr>
        <w:rPr>
          <w:lang w:eastAsia="zh-CN"/>
        </w:rPr>
      </w:pPr>
      <w:r>
        <w:rPr>
          <w:lang w:eastAsia="zh-CN"/>
        </w:rPr>
        <w:t xml:space="preserve">Het Nederlandse vennootschapsbelasting tarief bevindt zich rond het Europese gemiddelde. Er is geen reden te vermoeden dat dit tarief de kunstmatige verschuiving van </w:t>
      </w:r>
      <w:r>
        <w:rPr>
          <w:i/>
          <w:lang w:eastAsia="zh-CN"/>
        </w:rPr>
        <w:t>winst</w:t>
      </w:r>
      <w:r>
        <w:rPr>
          <w:lang w:eastAsia="zh-CN"/>
        </w:rPr>
        <w:t xml:space="preserve"> naar Nederland uitlokt. Daar komt bij dat elk land volledig autonoom is in de bescherming van zijn belastinggrondslag. Als een land van oordeel is dat er in dat land een onzakelijk lage winst wordt verantwoord, of dat rente-aftrek ongewenst is, kan het daar zelf maatregelen tegen nemen.</w:t>
      </w:r>
    </w:p>
    <w:p w:rsidR="00A37663" w:rsidRDefault="00A37663" w:rsidP="00A37663">
      <w:pPr>
        <w:rPr>
          <w:lang w:eastAsia="zh-CN"/>
        </w:rPr>
      </w:pPr>
      <w:r>
        <w:rPr>
          <w:lang w:eastAsia="zh-CN"/>
        </w:rPr>
        <w:t xml:space="preserve">In verschillende brieven ben ik ingegaan op de Nederlandse substance-eisen en heb ik aangegeven dat deze internationaal niet uit de pas lopen en dat het in eerste instantie aan het bronland is om te beoordelen of voor betalingen naar Nederland een beroep op het belastingverdrag op zijn plaats is. </w:t>
      </w:r>
    </w:p>
    <w:p w:rsidR="00A37663" w:rsidRDefault="00A37663" w:rsidP="00A37663">
      <w:pPr>
        <w:rPr>
          <w:lang w:eastAsia="zh-CN"/>
        </w:rPr>
      </w:pPr>
      <w:r>
        <w:rPr>
          <w:lang w:eastAsia="zh-CN"/>
        </w:rPr>
        <w:t>Het bronland kan, zowel onder verdragen als onder de richtlijnen, zelf anti-misbruikmaatregelen nemen</w:t>
      </w:r>
      <w:r w:rsidR="0082593F">
        <w:rPr>
          <w:lang w:eastAsia="zh-CN"/>
        </w:rPr>
        <w:t>. Die mogelijkheden zijn na de recente aanpassing van de Moeder-Dochterrichtlijn alleen maar groter geworden. I</w:t>
      </w:r>
      <w:r>
        <w:rPr>
          <w:lang w:eastAsia="zh-CN"/>
        </w:rPr>
        <w:t xml:space="preserve">ndien zij voor de toepassing daarvan informatie uit Nederland nodig heeft, zal Nederland altijd de benodigde informatie verstrekken. </w:t>
      </w:r>
    </w:p>
    <w:p w:rsidR="00A37663" w:rsidRDefault="00A37663" w:rsidP="00A37663">
      <w:pPr>
        <w:rPr>
          <w:lang w:eastAsia="zh-CN"/>
        </w:rPr>
      </w:pPr>
      <w:r>
        <w:rPr>
          <w:lang w:eastAsia="zh-CN"/>
        </w:rPr>
        <w:br/>
      </w:r>
    </w:p>
    <w:p w:rsidR="00A37663" w:rsidRDefault="00A37663" w:rsidP="00FE1595">
      <w:pPr>
        <w:spacing w:line="240" w:lineRule="auto"/>
        <w:rPr>
          <w:lang w:eastAsia="zh-CN"/>
        </w:rPr>
      </w:pPr>
    </w:p>
    <w:sectPr w:rsidR="00A37663" w:rsidSect="00BA69CE">
      <w:headerReference w:type="even" r:id="rId12"/>
      <w:headerReference w:type="default" r:id="rId13"/>
      <w:footerReference w:type="even" r:id="rId14"/>
      <w:footerReference w:type="default" r:id="rId15"/>
      <w:headerReference w:type="first" r:id="rId16"/>
      <w:footerReference w:type="first" r:id="rId17"/>
      <w:pgSz w:w="11906" w:h="16838" w:code="9"/>
      <w:pgMar w:top="1135" w:right="1418" w:bottom="1276" w:left="1304" w:header="2398" w:footer="561" w:gutter="0"/>
      <w:paperSrc w:first="258"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58" w:rsidRDefault="00C70D58">
      <w:pPr>
        <w:spacing w:line="240" w:lineRule="auto"/>
      </w:pPr>
      <w:r>
        <w:separator/>
      </w:r>
    </w:p>
  </w:endnote>
  <w:endnote w:type="continuationSeparator" w:id="0">
    <w:p w:rsidR="00C70D58" w:rsidRDefault="00C70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3F" w:rsidRDefault="004067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9900" w:type="dxa"/>
      <w:tblLayout w:type="fixed"/>
      <w:tblCellMar>
        <w:left w:w="0" w:type="dxa"/>
        <w:right w:w="0" w:type="dxa"/>
      </w:tblCellMar>
      <w:tblLook w:val="0000" w:firstRow="0" w:lastRow="0" w:firstColumn="0" w:lastColumn="0" w:noHBand="0" w:noVBand="0"/>
    </w:tblPr>
    <w:tblGrid>
      <w:gridCol w:w="7752"/>
      <w:gridCol w:w="2148"/>
    </w:tblGrid>
    <w:tr w:rsidR="00664166">
      <w:trPr>
        <w:trHeight w:hRule="exact" w:val="240"/>
      </w:trPr>
      <w:tc>
        <w:tcPr>
          <w:tcW w:w="7752" w:type="dxa"/>
        </w:tcPr>
        <w:p w:rsidR="00664166" w:rsidRDefault="00664166"/>
      </w:tc>
      <w:tc>
        <w:tcPr>
          <w:tcW w:w="2148" w:type="dxa"/>
        </w:tcPr>
        <w:p w:rsidR="00664166" w:rsidRDefault="00664166">
          <w:pPr>
            <w:pStyle w:val="Huisstijl-Paginanummer"/>
          </w:pPr>
        </w:p>
      </w:tc>
    </w:tr>
  </w:tbl>
  <w:p w:rsidR="00664166" w:rsidRDefault="00664166" w:rsidP="00E116CE">
    <w:pPr>
      <w:pStyle w:val="Huisstijl-Rubricer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3F" w:rsidRDefault="004067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58" w:rsidRDefault="00C70D58">
      <w:pPr>
        <w:spacing w:line="240" w:lineRule="auto"/>
      </w:pPr>
      <w:r>
        <w:separator/>
      </w:r>
    </w:p>
  </w:footnote>
  <w:footnote w:type="continuationSeparator" w:id="0">
    <w:p w:rsidR="00C70D58" w:rsidRDefault="00C70D58">
      <w:pPr>
        <w:spacing w:line="240" w:lineRule="auto"/>
      </w:pPr>
      <w:r>
        <w:continuationSeparator/>
      </w:r>
    </w:p>
  </w:footnote>
  <w:footnote w:id="1">
    <w:p w:rsidR="00664166" w:rsidRPr="0099530E" w:rsidRDefault="00664166" w:rsidP="0099530E">
      <w:pPr>
        <w:pStyle w:val="Voetnoottekst"/>
      </w:pPr>
      <w:r>
        <w:rPr>
          <w:rStyle w:val="Voetnootmarkering"/>
        </w:rPr>
        <w:footnoteRef/>
      </w:r>
      <w:r>
        <w:t xml:space="preserve"> </w:t>
      </w:r>
      <w:r w:rsidRPr="0099530E">
        <w:t xml:space="preserve">De brieven aan de Tweede Kamer van </w:t>
      </w:r>
    </w:p>
    <w:p w:rsidR="00664166" w:rsidRPr="0099530E" w:rsidRDefault="00664166" w:rsidP="0099530E">
      <w:pPr>
        <w:pStyle w:val="Voetnoottekst"/>
      </w:pPr>
      <w:r w:rsidRPr="0099530E">
        <w:t xml:space="preserve">26 oktober 2009 (Kamerstukken II 2009/10, 31 369, nr. 8) </w:t>
      </w:r>
    </w:p>
    <w:p w:rsidR="00664166" w:rsidRPr="0099530E" w:rsidRDefault="00664166" w:rsidP="0099530E">
      <w:pPr>
        <w:pStyle w:val="Voetnoottekst"/>
      </w:pPr>
      <w:r w:rsidRPr="0099530E">
        <w:t>25 juni 2012 (Kamerstukken II 2011/12, 25 087, nr. 32)</w:t>
      </w:r>
    </w:p>
    <w:p w:rsidR="00664166" w:rsidRPr="0099530E" w:rsidRDefault="00664166" w:rsidP="0099530E">
      <w:pPr>
        <w:pStyle w:val="Voetnoottekst"/>
      </w:pPr>
      <w:r w:rsidRPr="0099530E">
        <w:t>17 januari 2013 (Kamerstukken II 2012/13, 25 087, nr. 34)</w:t>
      </w:r>
    </w:p>
    <w:p w:rsidR="00664166" w:rsidRPr="0099530E" w:rsidRDefault="00664166" w:rsidP="0099530E">
      <w:pPr>
        <w:pStyle w:val="Voetnoottekst"/>
      </w:pPr>
      <w:r w:rsidRPr="0099530E">
        <w:t>30 augustus 2013 (Kamerstukken II 2012/13, 25 087, nr. 60)</w:t>
      </w:r>
    </w:p>
    <w:p w:rsidR="00664166" w:rsidRPr="0099530E" w:rsidRDefault="00664166" w:rsidP="0099530E">
      <w:pPr>
        <w:pStyle w:val="Voetnoottekst"/>
      </w:pPr>
      <w:r w:rsidRPr="0099530E">
        <w:t>16 september 2014 (Kamerstukken II 2014/15, 25 087, nr. 77)</w:t>
      </w:r>
    </w:p>
    <w:p w:rsidR="00664166" w:rsidRDefault="00664166">
      <w:pPr>
        <w:pStyle w:val="Voetnoottekst"/>
      </w:pPr>
      <w:r w:rsidRPr="0099530E">
        <w:t>en de brief van 29 mei 2013 aan de Eerste Kamer (opgenomen in het verslag van een schriftelijk overleg met de Eerste Kamer; Kamerstukken I, 2012–13, 25 087, D).</w:t>
      </w:r>
    </w:p>
  </w:footnote>
  <w:footnote w:id="2">
    <w:p w:rsidR="00664166" w:rsidRDefault="00664166">
      <w:pPr>
        <w:pStyle w:val="Voetnoottekst"/>
      </w:pPr>
      <w:r>
        <w:rPr>
          <w:rStyle w:val="Voetnootmarkering"/>
        </w:rPr>
        <w:footnoteRef/>
      </w:r>
      <w:r>
        <w:t xml:space="preserve"> </w:t>
      </w:r>
      <w:r w:rsidRPr="000E4512">
        <w:t xml:space="preserve">In deze brief is afgezien van een verwijzing naar rapporten per onderdeel. </w:t>
      </w:r>
      <w:r>
        <w:t xml:space="preserve">Alle documenten zijn te vinden op </w:t>
      </w:r>
      <w:hyperlink r:id="rId1" w:history="1">
        <w:r w:rsidRPr="00B14C4B">
          <w:rPr>
            <w:rStyle w:val="Hyperlink"/>
          </w:rPr>
          <w:t>www.oecd.org/tax/beps.htm</w:t>
        </w:r>
      </w:hyperlink>
      <w:r>
        <w:t xml:space="preserve">  </w:t>
      </w:r>
    </w:p>
  </w:footnote>
  <w:footnote w:id="3">
    <w:p w:rsidR="00664166" w:rsidRPr="00367123" w:rsidRDefault="00664166">
      <w:pPr>
        <w:pStyle w:val="Voetnoottekst"/>
        <w:rPr>
          <w:lang w:val="en-US"/>
        </w:rPr>
      </w:pPr>
      <w:r>
        <w:rPr>
          <w:rStyle w:val="Voetnootmarkering"/>
        </w:rPr>
        <w:footnoteRef/>
      </w:r>
      <w:r w:rsidRPr="00367123">
        <w:rPr>
          <w:lang w:val="en-US"/>
        </w:rPr>
        <w:t xml:space="preserve"> Richtlijn 2014/86/EU; Pb EU L219</w:t>
      </w:r>
    </w:p>
  </w:footnote>
  <w:footnote w:id="4">
    <w:p w:rsidR="00664166" w:rsidRPr="00367123" w:rsidRDefault="00664166">
      <w:pPr>
        <w:pStyle w:val="Voetnoottekst"/>
        <w:rPr>
          <w:lang w:val="en-US"/>
        </w:rPr>
      </w:pPr>
      <w:r>
        <w:rPr>
          <w:rStyle w:val="Voetnootmarkering"/>
        </w:rPr>
        <w:footnoteRef/>
      </w:r>
      <w:r w:rsidRPr="00367123">
        <w:rPr>
          <w:lang w:val="en-US"/>
        </w:rPr>
        <w:t xml:space="preserve"> </w:t>
      </w:r>
      <w:r w:rsidRPr="00367123">
        <w:rPr>
          <w:lang w:val="en-US" w:eastAsia="zh-CN"/>
        </w:rPr>
        <w:t>de EBITDA: Earnings before interest, taxes, depreciation and amortisation.</w:t>
      </w:r>
    </w:p>
  </w:footnote>
  <w:footnote w:id="5">
    <w:p w:rsidR="00664166" w:rsidRDefault="00664166">
      <w:pPr>
        <w:pStyle w:val="Voetnoottekst"/>
      </w:pPr>
      <w:r>
        <w:rPr>
          <w:rStyle w:val="Voetnootmarkering"/>
        </w:rPr>
        <w:footnoteRef/>
      </w:r>
      <w:r>
        <w:t xml:space="preserve"> </w:t>
      </w:r>
      <w:r w:rsidRPr="00896CAA">
        <w:t xml:space="preserve">Dat kan door allocatie van risico’s, </w:t>
      </w:r>
      <w:r>
        <w:t>bezittingen en eigen vermogen of door gebruik van hybride entiteiten.</w:t>
      </w:r>
    </w:p>
  </w:footnote>
  <w:footnote w:id="6">
    <w:p w:rsidR="00664166" w:rsidRDefault="00664166">
      <w:pPr>
        <w:pStyle w:val="Voetnoottekst"/>
      </w:pPr>
      <w:r>
        <w:rPr>
          <w:rStyle w:val="Voetnootmarkering"/>
        </w:rPr>
        <w:footnoteRef/>
      </w:r>
      <w:r>
        <w:t xml:space="preserve"> Besluit van 14 november 2013, IFZ 2013-184M; Stcrt 2013, 32854</w:t>
      </w:r>
    </w:p>
  </w:footnote>
  <w:footnote w:id="7">
    <w:p w:rsidR="00664166" w:rsidRDefault="00664166">
      <w:pPr>
        <w:pStyle w:val="Voetnoottekst"/>
      </w:pPr>
      <w:r>
        <w:rPr>
          <w:rStyle w:val="Voetnootmarkering"/>
        </w:rPr>
        <w:footnoteRef/>
      </w:r>
      <w:r>
        <w:t xml:space="preserve"> Kamerstukken II 2014-15 , 2150-7, nr 1212, onderdeel 11.</w:t>
      </w:r>
    </w:p>
  </w:footnote>
  <w:footnote w:id="8">
    <w:p w:rsidR="00664166" w:rsidRDefault="00664166">
      <w:pPr>
        <w:pStyle w:val="Voetnoottekst"/>
      </w:pPr>
      <w:r>
        <w:rPr>
          <w:rStyle w:val="Voetnootmarkering"/>
        </w:rPr>
        <w:footnoteRef/>
      </w:r>
      <w:r>
        <w:t xml:space="preserve"> </w:t>
      </w:r>
      <w:r w:rsidRPr="005B680D">
        <w:t xml:space="preserve">de oprichting van een dochteronderneming waaruit dividend zal worden ontvangen of de verstrekking van een lening waarop rente zal worden ontvangen. </w:t>
      </w:r>
    </w:p>
  </w:footnote>
  <w:footnote w:id="9">
    <w:p w:rsidR="00664166" w:rsidRDefault="00664166">
      <w:pPr>
        <w:pStyle w:val="Voetnoottekst"/>
      </w:pPr>
      <w:r>
        <w:rPr>
          <w:rStyle w:val="Voetnootmarkering"/>
        </w:rPr>
        <w:footnoteRef/>
      </w:r>
      <w:r>
        <w:t xml:space="preserve"> Dezelfde figuur kan zich ook voordoen bij royalty’s.</w:t>
      </w:r>
    </w:p>
  </w:footnote>
  <w:footnote w:id="10">
    <w:p w:rsidR="00664166" w:rsidRPr="000E0C57" w:rsidRDefault="00664166">
      <w:pPr>
        <w:pStyle w:val="Voetnoottekst"/>
      </w:pPr>
      <w:r>
        <w:rPr>
          <w:rStyle w:val="Voetnootmarkering"/>
        </w:rPr>
        <w:footnoteRef/>
      </w:r>
      <w:r w:rsidRPr="000E0C57">
        <w:t xml:space="preserve"> Richtlijn (EU) 2015/121, Pb EU L21</w:t>
      </w:r>
    </w:p>
  </w:footnote>
  <w:footnote w:id="11">
    <w:p w:rsidR="00664166" w:rsidRDefault="00664166" w:rsidP="008830EF">
      <w:pPr>
        <w:pStyle w:val="Voetnoottekst"/>
      </w:pPr>
      <w:r>
        <w:rPr>
          <w:rStyle w:val="Voetnootmarkering"/>
        </w:rPr>
        <w:footnoteRef/>
      </w:r>
      <w:r w:rsidRPr="005B680D">
        <w:t xml:space="preserve"> Kamerstukken II 2014/15, 25 087, nr. 90.</w:t>
      </w:r>
    </w:p>
  </w:footnote>
  <w:footnote w:id="12">
    <w:p w:rsidR="00664166" w:rsidRDefault="00664166" w:rsidP="00456CFF">
      <w:pPr>
        <w:pStyle w:val="Voetnoottekst"/>
      </w:pPr>
      <w:r>
        <w:rPr>
          <w:rStyle w:val="Voetnootmarkering"/>
        </w:rPr>
        <w:footnoteRef/>
      </w:r>
      <w:r>
        <w:t xml:space="preserve"> Kamerstukken II 2014/15, 25 087, nr. 100 en bijlage.</w:t>
      </w:r>
    </w:p>
  </w:footnote>
  <w:footnote w:id="13">
    <w:p w:rsidR="00664166" w:rsidRDefault="00664166" w:rsidP="00456CFF">
      <w:pPr>
        <w:pStyle w:val="Voetnoottekst"/>
      </w:pPr>
      <w:r>
        <w:rPr>
          <w:rStyle w:val="Voetnootmarkering"/>
        </w:rPr>
        <w:footnoteRef/>
      </w:r>
      <w:r>
        <w:t xml:space="preserve"> Kamerstukken II 2014/15, 25 087, nr. 96. </w:t>
      </w:r>
    </w:p>
  </w:footnote>
  <w:footnote w:id="14">
    <w:p w:rsidR="00664166" w:rsidRDefault="00664166" w:rsidP="00A37663">
      <w:pPr>
        <w:pStyle w:val="Voetnoottekst"/>
      </w:pPr>
      <w:r>
        <w:rPr>
          <w:rStyle w:val="Voetnootmarkering"/>
        </w:rPr>
        <w:footnoteRef/>
      </w:r>
      <w:r>
        <w:t xml:space="preserve"> Zie ook mijn brief aan uw Kamer van 2 februari 2015, Kamerstukken II 2014/15, </w:t>
      </w:r>
      <w:r w:rsidRPr="00E4663B">
        <w:rPr>
          <w:lang w:eastAsia="zh-CN"/>
        </w:rPr>
        <w:t>31066, nr228</w:t>
      </w:r>
      <w:r>
        <w:rPr>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3F" w:rsidRDefault="004067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66" w:rsidRDefault="00664166" w:rsidP="00137B39">
    <w:pPr>
      <w:pStyle w:val="Huisstijl-Afzendgegevenskop"/>
      <w:framePr w:w="2103" w:h="12013" w:hRule="exact" w:hSpace="180" w:wrap="around" w:vAnchor="page" w:hAnchor="page" w:x="9316" w:y="3022"/>
    </w:pPr>
    <w:r w:rsidRPr="00E81A4D">
      <w:t>Directie Internationale Zaken en Verbruiksbelastingen</w:t>
    </w:r>
  </w:p>
  <w:p w:rsidR="00664166" w:rsidRDefault="00664166" w:rsidP="00137B39">
    <w:pPr>
      <w:pStyle w:val="Huisstijl-ReferentiegegevenskopW2"/>
      <w:framePr w:w="2103" w:h="12013" w:hRule="exact" w:hSpace="180" w:wrap="around" w:vAnchor="page" w:hAnchor="page" w:x="9316" w:y="3022"/>
    </w:pPr>
    <w:r w:rsidRPr="00E81A4D">
      <w:t>Ons kenmerk</w:t>
    </w:r>
  </w:p>
  <w:p w:rsidR="00664166" w:rsidRPr="00FD21B8" w:rsidRDefault="00664166" w:rsidP="00137B39">
    <w:pPr>
      <w:pStyle w:val="Huisstijl-Referentiegegevens"/>
      <w:framePr w:w="2103" w:h="12013" w:hRule="exact" w:hSpace="180" w:wrap="around" w:vAnchor="page" w:hAnchor="page" w:x="9316" w:y="3022"/>
    </w:pPr>
    <w:r w:rsidRPr="00C8655C">
      <w:t>IZV/</w:t>
    </w:r>
    <w:r w:rsidR="00E43FD2">
      <w:fldChar w:fldCharType="begin"/>
    </w:r>
    <w:r w:rsidR="00E43FD2">
      <w:instrText xml:space="preserve"> DOCPROPERTY  Kenmerk  \* MERGEFORMAT </w:instrText>
    </w:r>
    <w:r w:rsidR="00E43FD2">
      <w:fldChar w:fldCharType="separate"/>
    </w:r>
    <w:r w:rsidR="007A2647">
      <w:t>2015-314</w:t>
    </w:r>
    <w:r w:rsidR="00E43FD2">
      <w:fldChar w:fldCharType="end"/>
    </w:r>
    <w:r w:rsidRPr="00C8655C">
      <w:t xml:space="preserve"> U</w:t>
    </w:r>
  </w:p>
  <w:p w:rsidR="00664166" w:rsidRDefault="00664166">
    <w:pPr>
      <w:pStyle w:val="Koptekst"/>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66" w:rsidRDefault="00664166" w:rsidP="004B3AB8">
    <w:pPr>
      <w:pStyle w:val="Huisstijl-Afzendgegevenskop"/>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Directie Internationale Zaken en Verbruiksbelastingen</w:t>
    </w:r>
  </w:p>
  <w:p w:rsidR="00664166" w:rsidRDefault="00664166" w:rsidP="004B3AB8">
    <w:pPr>
      <w:pStyle w:val="Huisstijl-AfzendgegevensW1"/>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Korte Voorhout 7</w:t>
    </w:r>
  </w:p>
  <w:p w:rsidR="00664166" w:rsidRDefault="00664166" w:rsidP="004B3AB8">
    <w:pPr>
      <w:pStyle w:val="Huisstijl-Afzendgegevens"/>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2511 CW  Den Haag</w:t>
    </w:r>
    <w:r>
      <w:t>  </w:t>
    </w:r>
  </w:p>
  <w:p w:rsidR="00664166" w:rsidRDefault="00664166" w:rsidP="004B3AB8">
    <w:pPr>
      <w:pStyle w:val="Huisstijl-Afzendgegevens"/>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Postbus 20201</w:t>
    </w:r>
  </w:p>
  <w:p w:rsidR="00664166" w:rsidRDefault="00664166" w:rsidP="004B3AB8">
    <w:pPr>
      <w:pStyle w:val="Huisstijl-Afzendgegevens"/>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2500 EE  Den Haag</w:t>
    </w:r>
    <w:r>
      <w:t>  </w:t>
    </w:r>
  </w:p>
  <w:p w:rsidR="00664166" w:rsidRPr="002F6B32" w:rsidRDefault="00664166" w:rsidP="004B3AB8">
    <w:pPr>
      <w:pStyle w:val="Huisstijl-Afzendgegevens"/>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2F6B32">
      <w:t>www.rijksoverheid.nl</w:t>
    </w:r>
  </w:p>
  <w:p w:rsidR="00664166" w:rsidRDefault="00664166" w:rsidP="004B3AB8">
    <w:pPr>
      <w:pStyle w:val="Huisstijl-ReferentiegegevenskopW2"/>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Ons kenmerk</w:t>
    </w:r>
  </w:p>
  <w:p w:rsidR="00664166" w:rsidRDefault="00664166" w:rsidP="004B3AB8">
    <w:pPr>
      <w:pStyle w:val="Huisstijl-Referentiegegevens"/>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C8655C">
      <w:t>IZV/</w:t>
    </w:r>
    <w:r w:rsidR="00E43FD2">
      <w:fldChar w:fldCharType="begin"/>
    </w:r>
    <w:r w:rsidR="00E43FD2">
      <w:instrText xml:space="preserve"> DOCPROPERTY  Kenmerk  \* MERGEFORMAT </w:instrText>
    </w:r>
    <w:r w:rsidR="00E43FD2">
      <w:fldChar w:fldCharType="separate"/>
    </w:r>
    <w:r w:rsidR="007A2647">
      <w:t>2015-314</w:t>
    </w:r>
    <w:r w:rsidR="00E43FD2">
      <w:fldChar w:fldCharType="end"/>
    </w:r>
    <w:r w:rsidRPr="00C8655C">
      <w:t xml:space="preserve"> U</w:t>
    </w:r>
  </w:p>
  <w:p w:rsidR="00664166" w:rsidRDefault="00664166" w:rsidP="004B3AB8">
    <w:pPr>
      <w:pStyle w:val="Huisstijl-ReferentiegegevenskopW1"/>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rsidRPr="00E81A4D">
      <w:t>Uw brief (kenmerk)</w:t>
    </w:r>
  </w:p>
  <w:p w:rsidR="00664166" w:rsidRDefault="00E43FD2" w:rsidP="004B3AB8">
    <w:pPr>
      <w:pStyle w:val="Huisstijl-Referentiegegevens"/>
      <w:framePr w:w="2104" w:h="5296" w:hRule="exact" w:wrap="around" w:vAnchor="page" w:hAnchor="page" w:x="9317" w:y="3023"/>
      <w:pBdr>
        <w:top w:val="single" w:sz="2" w:space="0" w:color="FFFFFF"/>
        <w:left w:val="single" w:sz="2" w:space="0" w:color="FFFFFF"/>
        <w:bottom w:val="single" w:sz="2" w:space="0" w:color="FFFFFF"/>
        <w:right w:val="single" w:sz="2" w:space="0" w:color="FFFFFF"/>
      </w:pBdr>
      <w:shd w:val="clear" w:color="FFFFFF" w:fill="auto"/>
    </w:pPr>
    <w:r>
      <w:fldChar w:fldCharType="begin"/>
    </w:r>
    <w:r>
      <w:instrText xml:space="preserve"> DOCPROPERTY  UwKenmerk  \* MERGEFORMAT </w:instrText>
    </w:r>
    <w:r>
      <w:fldChar w:fldCharType="separate"/>
    </w:r>
    <w:r w:rsidR="007A2647">
      <w:t>2015Z05739</w:t>
    </w:r>
    <w:r>
      <w:fldChar w:fldCharType="end"/>
    </w:r>
  </w:p>
  <w:p w:rsidR="00664166" w:rsidRDefault="00E43FD2">
    <w:pPr>
      <w:pStyle w:val="Voetnoottekst"/>
    </w:pPr>
    <w:r>
      <w:rPr>
        <w:noProof/>
      </w:rPr>
      <mc:AlternateContent>
        <mc:Choice Requires="wps">
          <w:drawing>
            <wp:anchor distT="0" distB="0" distL="114300" distR="114300" simplePos="0" relativeHeight="251656192" behindDoc="0" locked="0" layoutInCell="1" allowOverlap="1">
              <wp:simplePos x="0" y="0"/>
              <wp:positionH relativeFrom="column">
                <wp:posOffset>2457450</wp:posOffset>
              </wp:positionH>
              <wp:positionV relativeFrom="page">
                <wp:posOffset>-88900</wp:posOffset>
              </wp:positionV>
              <wp:extent cx="4025900" cy="1746250"/>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664166">
                            <w:trPr>
                              <w:trHeight w:val="2636"/>
                            </w:trPr>
                            <w:tc>
                              <w:tcPr>
                                <w:tcW w:w="737" w:type="dxa"/>
                              </w:tcPr>
                              <w:p w:rsidR="00664166" w:rsidRDefault="00664166">
                                <w:pPr>
                                  <w:spacing w:line="240" w:lineRule="auto"/>
                                </w:pPr>
                                <w:r>
                                  <w:rPr>
                                    <w:noProof/>
                                  </w:rPr>
                                  <w:drawing>
                                    <wp:inline distT="0" distB="0" distL="0" distR="0">
                                      <wp:extent cx="461010" cy="159004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1010" cy="1590040"/>
                                              </a:xfrm>
                                              <a:prstGeom prst="rect">
                                                <a:avLst/>
                                              </a:prstGeom>
                                              <a:noFill/>
                                              <a:ln w="9525">
                                                <a:noFill/>
                                                <a:miter lim="800000"/>
                                                <a:headEnd/>
                                                <a:tailEnd/>
                                              </a:ln>
                                            </pic:spPr>
                                          </pic:pic>
                                        </a:graphicData>
                                      </a:graphic>
                                    </wp:inline>
                                  </w:drawing>
                                </w:r>
                              </w:p>
                            </w:tc>
                            <w:tc>
                              <w:tcPr>
                                <w:tcW w:w="5263" w:type="dxa"/>
                              </w:tcPr>
                              <w:p w:rsidR="00664166" w:rsidRDefault="00664166">
                                <w:pPr>
                                  <w:spacing w:line="240" w:lineRule="auto"/>
                                </w:pPr>
                                <w:r>
                                  <w:rPr>
                                    <w:noProof/>
                                  </w:rPr>
                                  <w:drawing>
                                    <wp:inline distT="0" distB="0" distL="0" distR="0">
                                      <wp:extent cx="2393315" cy="1630045"/>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393315" cy="1630045"/>
                                              </a:xfrm>
                                              <a:prstGeom prst="rect">
                                                <a:avLst/>
                                              </a:prstGeom>
                                              <a:noFill/>
                                              <a:ln w="9525">
                                                <a:noFill/>
                                                <a:miter lim="800000"/>
                                                <a:headEnd/>
                                                <a:tailEnd/>
                                              </a:ln>
                                            </pic:spPr>
                                          </pic:pic>
                                        </a:graphicData>
                                      </a:graphic>
                                    </wp:inline>
                                  </w:drawing>
                                </w:r>
                              </w:p>
                            </w:tc>
                          </w:tr>
                        </w:tbl>
                        <w:p w:rsidR="00664166" w:rsidRDefault="00664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93.5pt;margin-top:-7pt;width:317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6Btg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664166">
                      <w:trPr>
                        <w:trHeight w:val="2636"/>
                      </w:trPr>
                      <w:tc>
                        <w:tcPr>
                          <w:tcW w:w="737" w:type="dxa"/>
                        </w:tcPr>
                        <w:p w:rsidR="00664166" w:rsidRDefault="00664166">
                          <w:pPr>
                            <w:spacing w:line="240" w:lineRule="auto"/>
                          </w:pPr>
                          <w:r>
                            <w:rPr>
                              <w:noProof/>
                            </w:rPr>
                            <w:drawing>
                              <wp:inline distT="0" distB="0" distL="0" distR="0">
                                <wp:extent cx="461010" cy="159004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1010" cy="1590040"/>
                                        </a:xfrm>
                                        <a:prstGeom prst="rect">
                                          <a:avLst/>
                                        </a:prstGeom>
                                        <a:noFill/>
                                        <a:ln w="9525">
                                          <a:noFill/>
                                          <a:miter lim="800000"/>
                                          <a:headEnd/>
                                          <a:tailEnd/>
                                        </a:ln>
                                      </pic:spPr>
                                    </pic:pic>
                                  </a:graphicData>
                                </a:graphic>
                              </wp:inline>
                            </w:drawing>
                          </w:r>
                        </w:p>
                      </w:tc>
                      <w:tc>
                        <w:tcPr>
                          <w:tcW w:w="5263" w:type="dxa"/>
                        </w:tcPr>
                        <w:p w:rsidR="00664166" w:rsidRDefault="00664166">
                          <w:pPr>
                            <w:spacing w:line="240" w:lineRule="auto"/>
                          </w:pPr>
                          <w:r>
                            <w:rPr>
                              <w:noProof/>
                            </w:rPr>
                            <w:drawing>
                              <wp:inline distT="0" distB="0" distL="0" distR="0">
                                <wp:extent cx="2393315" cy="1630045"/>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393315" cy="1630045"/>
                                        </a:xfrm>
                                        <a:prstGeom prst="rect">
                                          <a:avLst/>
                                        </a:prstGeom>
                                        <a:noFill/>
                                        <a:ln w="9525">
                                          <a:noFill/>
                                          <a:miter lim="800000"/>
                                          <a:headEnd/>
                                          <a:tailEnd/>
                                        </a:ln>
                                      </pic:spPr>
                                    </pic:pic>
                                  </a:graphicData>
                                </a:graphic>
                              </wp:inline>
                            </w:drawing>
                          </w:r>
                        </w:p>
                      </w:tc>
                    </w:tr>
                  </w:tbl>
                  <w:p w:rsidR="00664166" w:rsidRDefault="00664166"/>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42"/>
      <w:gridCol w:w="6778"/>
    </w:tblGrid>
    <w:tr w:rsidR="00664166" w:rsidRPr="00C8655C">
      <w:trPr>
        <w:trHeight w:val="400"/>
      </w:trPr>
      <w:tc>
        <w:tcPr>
          <w:tcW w:w="7520" w:type="dxa"/>
          <w:gridSpan w:val="2"/>
        </w:tcPr>
        <w:p w:rsidR="00664166" w:rsidRDefault="00664166">
          <w:pPr>
            <w:pStyle w:val="Huisstijl-Retouradres"/>
          </w:pPr>
          <w:r w:rsidRPr="00E81A4D">
            <w:t>&gt; Retouradres</w:t>
          </w:r>
          <w:r>
            <w:t> Postbus 20201  2500 EE  Den Haag  </w:t>
          </w:r>
        </w:p>
      </w:tc>
    </w:tr>
    <w:tr w:rsidR="00664166">
      <w:trPr>
        <w:cantSplit/>
        <w:trHeight w:hRule="exact" w:val="2440"/>
      </w:trPr>
      <w:tc>
        <w:tcPr>
          <w:tcW w:w="7520" w:type="dxa"/>
          <w:gridSpan w:val="2"/>
        </w:tcPr>
        <w:p w:rsidR="00664166" w:rsidRDefault="00664166" w:rsidP="00ED7BAA">
          <w:pPr>
            <w:pStyle w:val="Huisstijl-NAW"/>
            <w:rPr>
              <w:noProof w:val="0"/>
            </w:rPr>
          </w:pPr>
          <w:r>
            <w:rPr>
              <w:noProof w:val="0"/>
            </w:rPr>
            <w:t xml:space="preserve">Aan de voorzitter van de </w:t>
          </w:r>
        </w:p>
        <w:p w:rsidR="00664166" w:rsidRDefault="00664166" w:rsidP="00ED7BAA">
          <w:pPr>
            <w:pStyle w:val="Huisstijl-NAW"/>
            <w:rPr>
              <w:noProof w:val="0"/>
            </w:rPr>
          </w:pPr>
          <w:r>
            <w:rPr>
              <w:noProof w:val="0"/>
            </w:rPr>
            <w:t>Tweede Kamer der Staten-Generaal</w:t>
          </w:r>
        </w:p>
        <w:p w:rsidR="00664166" w:rsidRDefault="00664166" w:rsidP="00ED7BAA">
          <w:pPr>
            <w:pStyle w:val="Huisstijl-NAW"/>
            <w:rPr>
              <w:noProof w:val="0"/>
            </w:rPr>
          </w:pPr>
          <w:r>
            <w:rPr>
              <w:noProof w:val="0"/>
            </w:rPr>
            <w:t>Postbus 20018</w:t>
          </w:r>
        </w:p>
        <w:p w:rsidR="00664166" w:rsidRDefault="00664166" w:rsidP="00ED7BAA">
          <w:pPr>
            <w:pStyle w:val="Huisstijl-NAW"/>
            <w:rPr>
              <w:noProof w:val="0"/>
            </w:rPr>
          </w:pPr>
          <w:r>
            <w:rPr>
              <w:noProof w:val="0"/>
            </w:rPr>
            <w:t>2500 EA 's-Gravenhage</w:t>
          </w:r>
        </w:p>
        <w:p w:rsidR="00664166" w:rsidRDefault="00664166">
          <w:pPr>
            <w:pBdr>
              <w:top w:val="single" w:sz="2" w:space="0" w:color="FFFFFF"/>
              <w:left w:val="single" w:sz="2" w:space="0" w:color="FFFFFF"/>
              <w:bottom w:val="single" w:sz="2" w:space="0" w:color="FFFFFF"/>
              <w:right w:val="single" w:sz="2" w:space="0" w:color="FFFFFF"/>
            </w:pBdr>
            <w:shd w:val="clear" w:color="FFFFFF" w:fill="auto"/>
          </w:pPr>
        </w:p>
      </w:tc>
    </w:tr>
    <w:tr w:rsidR="00664166">
      <w:trPr>
        <w:trHeight w:hRule="exact" w:val="400"/>
      </w:trPr>
      <w:tc>
        <w:tcPr>
          <w:tcW w:w="7520" w:type="dxa"/>
          <w:gridSpan w:val="2"/>
        </w:tcPr>
        <w:p w:rsidR="00664166" w:rsidRDefault="00664166">
          <w:pPr>
            <w:tabs>
              <w:tab w:val="left" w:pos="740"/>
            </w:tabs>
            <w:autoSpaceDE w:val="0"/>
            <w:autoSpaceDN w:val="0"/>
            <w:adjustRightInd w:val="0"/>
            <w:ind w:left="743" w:hanging="743"/>
          </w:pPr>
        </w:p>
      </w:tc>
    </w:tr>
    <w:tr w:rsidR="00664166">
      <w:trPr>
        <w:trHeight w:val="240"/>
      </w:trPr>
      <w:tc>
        <w:tcPr>
          <w:tcW w:w="742" w:type="dxa"/>
        </w:tcPr>
        <w:p w:rsidR="00664166" w:rsidRDefault="00664166">
          <w:pPr>
            <w:pStyle w:val="Huisstijl-Datumenbetreft"/>
          </w:pPr>
          <w:r>
            <w:t>Datum</w:t>
          </w:r>
        </w:p>
      </w:tc>
      <w:tc>
        <w:tcPr>
          <w:tcW w:w="6778" w:type="dxa"/>
        </w:tcPr>
        <w:p w:rsidR="00664166" w:rsidRDefault="0051506D">
          <w:pPr>
            <w:pStyle w:val="Huisstijl-Gegevens"/>
          </w:pPr>
          <w:r>
            <w:t>2 juni 2015</w:t>
          </w:r>
        </w:p>
      </w:tc>
    </w:tr>
    <w:tr w:rsidR="00664166">
      <w:trPr>
        <w:trHeight w:val="240"/>
      </w:trPr>
      <w:tc>
        <w:tcPr>
          <w:tcW w:w="742" w:type="dxa"/>
        </w:tcPr>
        <w:p w:rsidR="00664166" w:rsidRDefault="00664166">
          <w:pPr>
            <w:pStyle w:val="Huisstijl-Datumenbetreft"/>
          </w:pPr>
          <w:r>
            <w:t>Betreft</w:t>
          </w:r>
        </w:p>
      </w:tc>
      <w:tc>
        <w:tcPr>
          <w:tcW w:w="6778" w:type="dxa"/>
        </w:tcPr>
        <w:p w:rsidR="00664166" w:rsidRDefault="00E43FD2" w:rsidP="00672E6B">
          <w:pPr>
            <w:pStyle w:val="Huisstijl-Gegevens"/>
          </w:pPr>
          <w:r>
            <w:fldChar w:fldCharType="begin"/>
          </w:r>
          <w:r>
            <w:instrText xml:space="preserve"> DOCPROPERTY  Onderwerp  \* MERGEFORMAT </w:instrText>
          </w:r>
          <w:r>
            <w:fldChar w:fldCharType="separate"/>
          </w:r>
          <w:r w:rsidR="007A2647">
            <w:t>Internationale belastingen en belastingontwijking</w:t>
          </w:r>
          <w:r>
            <w:fldChar w:fldCharType="end"/>
          </w:r>
        </w:p>
      </w:tc>
    </w:tr>
  </w:tbl>
  <w:p w:rsidR="00664166" w:rsidRDefault="00664166">
    <w:pPr>
      <w:pStyle w:val="Koptekst"/>
    </w:pPr>
  </w:p>
  <w:p w:rsidR="00664166" w:rsidRDefault="00664166">
    <w:pPr>
      <w:pStyle w:val="Koptekst"/>
    </w:pPr>
  </w:p>
  <w:p w:rsidR="00664166" w:rsidRDefault="00664166">
    <w:pPr>
      <w:pStyle w:val="Koptekst"/>
    </w:pPr>
    <w:r>
      <w:rPr>
        <w:noProof/>
      </w:rPr>
      <w:drawing>
        <wp:anchor distT="0" distB="0" distL="114300" distR="114300" simplePos="0" relativeHeight="25165926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2" name="Afbeelding 4" descr="Placeholder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laceholder_Flag.png"/>
                  <pic:cNvPicPr>
                    <a:picLocks noChangeAspect="1" noChangeArrowheads="1"/>
                  </pic:cNvPicPr>
                </pic:nvPicPr>
                <pic:blipFill>
                  <a:blip r:embed="rId3"/>
                  <a:srcRect/>
                  <a:stretch>
                    <a:fillRect/>
                  </a:stretch>
                </pic:blipFill>
                <pic:spPr bwMode="auto">
                  <a:xfrm>
                    <a:off x="0" y="0"/>
                    <a:ext cx="1148080"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cs="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cs="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pPr>
      <w:rPr>
        <w:rFonts w:ascii="Verdana" w:hAnsi="Verdana" w:cs="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E7649D6"/>
    <w:multiLevelType w:val="hybridMultilevel"/>
    <w:tmpl w:val="D4A2D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C620A5"/>
    <w:multiLevelType w:val="hybridMultilevel"/>
    <w:tmpl w:val="257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0B5E76"/>
    <w:multiLevelType w:val="hybridMultilevel"/>
    <w:tmpl w:val="31866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782594"/>
    <w:multiLevelType w:val="hybridMultilevel"/>
    <w:tmpl w:val="C73010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540E90"/>
    <w:multiLevelType w:val="hybridMultilevel"/>
    <w:tmpl w:val="EBF22DCE"/>
    <w:lvl w:ilvl="0" w:tplc="C6CE555A">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60541AB"/>
    <w:multiLevelType w:val="hybridMultilevel"/>
    <w:tmpl w:val="1954FC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D27D39"/>
    <w:multiLevelType w:val="hybridMultilevel"/>
    <w:tmpl w:val="90BE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B845BB1"/>
    <w:multiLevelType w:val="hybridMultilevel"/>
    <w:tmpl w:val="DE8EA8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10"/>
  </w:num>
  <w:num w:numId="11">
    <w:abstractNumId w:val="7"/>
  </w:num>
  <w:num w:numId="12">
    <w:abstractNumId w:val="11"/>
  </w:num>
  <w:num w:numId="13">
    <w:abstractNumId w:val="5"/>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15"/>
  </w:num>
  <w:num w:numId="24">
    <w:abstractNumId w:val="20"/>
  </w:num>
  <w:num w:numId="25">
    <w:abstractNumId w:val="12"/>
  </w:num>
  <w:num w:numId="26">
    <w:abstractNumId w:val="13"/>
  </w:num>
  <w:num w:numId="27">
    <w:abstractNumId w:val="19"/>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6B"/>
    <w:rsid w:val="000158B2"/>
    <w:rsid w:val="0002704A"/>
    <w:rsid w:val="00031559"/>
    <w:rsid w:val="000352EB"/>
    <w:rsid w:val="0004001D"/>
    <w:rsid w:val="000546EB"/>
    <w:rsid w:val="000556D4"/>
    <w:rsid w:val="000559F7"/>
    <w:rsid w:val="00057D69"/>
    <w:rsid w:val="0007208D"/>
    <w:rsid w:val="00077F12"/>
    <w:rsid w:val="0009722F"/>
    <w:rsid w:val="000A0E85"/>
    <w:rsid w:val="000A323A"/>
    <w:rsid w:val="000A5CE1"/>
    <w:rsid w:val="000B7976"/>
    <w:rsid w:val="000C65C8"/>
    <w:rsid w:val="000D2D1F"/>
    <w:rsid w:val="000E0C57"/>
    <w:rsid w:val="000E4512"/>
    <w:rsid w:val="000E4D59"/>
    <w:rsid w:val="000E4FA1"/>
    <w:rsid w:val="000E7823"/>
    <w:rsid w:val="00100E7B"/>
    <w:rsid w:val="00102011"/>
    <w:rsid w:val="0011016E"/>
    <w:rsid w:val="00122409"/>
    <w:rsid w:val="00137B39"/>
    <w:rsid w:val="00157454"/>
    <w:rsid w:val="00162D19"/>
    <w:rsid w:val="00163D44"/>
    <w:rsid w:val="0016597B"/>
    <w:rsid w:val="00173ADC"/>
    <w:rsid w:val="001757F2"/>
    <w:rsid w:val="00175A35"/>
    <w:rsid w:val="00191478"/>
    <w:rsid w:val="00191632"/>
    <w:rsid w:val="001A1F54"/>
    <w:rsid w:val="001B00C6"/>
    <w:rsid w:val="001B5720"/>
    <w:rsid w:val="001B6E71"/>
    <w:rsid w:val="001B6EAF"/>
    <w:rsid w:val="001C1F2F"/>
    <w:rsid w:val="001D3BA5"/>
    <w:rsid w:val="001F1F2B"/>
    <w:rsid w:val="001F67EC"/>
    <w:rsid w:val="00201129"/>
    <w:rsid w:val="00205438"/>
    <w:rsid w:val="00222628"/>
    <w:rsid w:val="00222F18"/>
    <w:rsid w:val="00247E22"/>
    <w:rsid w:val="00250470"/>
    <w:rsid w:val="00266AC5"/>
    <w:rsid w:val="00271EF4"/>
    <w:rsid w:val="0027669B"/>
    <w:rsid w:val="00280B98"/>
    <w:rsid w:val="00281DCE"/>
    <w:rsid w:val="00285819"/>
    <w:rsid w:val="002867D0"/>
    <w:rsid w:val="0029060A"/>
    <w:rsid w:val="002932AD"/>
    <w:rsid w:val="00295BAF"/>
    <w:rsid w:val="002A0AD6"/>
    <w:rsid w:val="002A12D5"/>
    <w:rsid w:val="002A6601"/>
    <w:rsid w:val="002B38F4"/>
    <w:rsid w:val="002B54FA"/>
    <w:rsid w:val="002C0220"/>
    <w:rsid w:val="002C6E5C"/>
    <w:rsid w:val="002D5182"/>
    <w:rsid w:val="002E1A12"/>
    <w:rsid w:val="002F0081"/>
    <w:rsid w:val="002F1A0A"/>
    <w:rsid w:val="002F1B32"/>
    <w:rsid w:val="002F6462"/>
    <w:rsid w:val="002F6B32"/>
    <w:rsid w:val="003016CE"/>
    <w:rsid w:val="00315BC6"/>
    <w:rsid w:val="003167FE"/>
    <w:rsid w:val="00335422"/>
    <w:rsid w:val="003414CD"/>
    <w:rsid w:val="00341907"/>
    <w:rsid w:val="00346A53"/>
    <w:rsid w:val="00347B22"/>
    <w:rsid w:val="00350E1B"/>
    <w:rsid w:val="0035434C"/>
    <w:rsid w:val="0035770A"/>
    <w:rsid w:val="00360063"/>
    <w:rsid w:val="00365D78"/>
    <w:rsid w:val="00367123"/>
    <w:rsid w:val="00375590"/>
    <w:rsid w:val="00385493"/>
    <w:rsid w:val="00391FCB"/>
    <w:rsid w:val="003A3E63"/>
    <w:rsid w:val="003B2BEC"/>
    <w:rsid w:val="003B65FA"/>
    <w:rsid w:val="003C2244"/>
    <w:rsid w:val="003D06AF"/>
    <w:rsid w:val="003D0764"/>
    <w:rsid w:val="003D6596"/>
    <w:rsid w:val="003F7391"/>
    <w:rsid w:val="004065B2"/>
    <w:rsid w:val="0040673F"/>
    <w:rsid w:val="0040714C"/>
    <w:rsid w:val="00407428"/>
    <w:rsid w:val="00422321"/>
    <w:rsid w:val="00431BC3"/>
    <w:rsid w:val="00446271"/>
    <w:rsid w:val="004517F5"/>
    <w:rsid w:val="00456CFF"/>
    <w:rsid w:val="00457B08"/>
    <w:rsid w:val="00472351"/>
    <w:rsid w:val="0048578B"/>
    <w:rsid w:val="00491B5D"/>
    <w:rsid w:val="00494A7B"/>
    <w:rsid w:val="004966DC"/>
    <w:rsid w:val="004A0097"/>
    <w:rsid w:val="004A4F16"/>
    <w:rsid w:val="004A5230"/>
    <w:rsid w:val="004B2AB5"/>
    <w:rsid w:val="004B2DE2"/>
    <w:rsid w:val="004B3AB8"/>
    <w:rsid w:val="004C4655"/>
    <w:rsid w:val="004D111A"/>
    <w:rsid w:val="004D1D06"/>
    <w:rsid w:val="004D34D6"/>
    <w:rsid w:val="004D513A"/>
    <w:rsid w:val="004D5AA0"/>
    <w:rsid w:val="004E46A4"/>
    <w:rsid w:val="004E5FD5"/>
    <w:rsid w:val="004E6C23"/>
    <w:rsid w:val="004F2BD0"/>
    <w:rsid w:val="004F49C3"/>
    <w:rsid w:val="00503BFC"/>
    <w:rsid w:val="00506409"/>
    <w:rsid w:val="0051506D"/>
    <w:rsid w:val="005214CA"/>
    <w:rsid w:val="005271AE"/>
    <w:rsid w:val="00527CD7"/>
    <w:rsid w:val="00531B72"/>
    <w:rsid w:val="0053451F"/>
    <w:rsid w:val="00554C4D"/>
    <w:rsid w:val="00560FC5"/>
    <w:rsid w:val="0056194B"/>
    <w:rsid w:val="00561F2D"/>
    <w:rsid w:val="00566A7A"/>
    <w:rsid w:val="00586B75"/>
    <w:rsid w:val="00587B86"/>
    <w:rsid w:val="00591DC9"/>
    <w:rsid w:val="005943E2"/>
    <w:rsid w:val="005A1FC4"/>
    <w:rsid w:val="005A39EE"/>
    <w:rsid w:val="005B0DEF"/>
    <w:rsid w:val="005B0FE7"/>
    <w:rsid w:val="005B345C"/>
    <w:rsid w:val="005B680D"/>
    <w:rsid w:val="005B7EC6"/>
    <w:rsid w:val="005C1C0E"/>
    <w:rsid w:val="005C22B5"/>
    <w:rsid w:val="005C3860"/>
    <w:rsid w:val="005C555E"/>
    <w:rsid w:val="005D37EE"/>
    <w:rsid w:val="005D382F"/>
    <w:rsid w:val="005D7038"/>
    <w:rsid w:val="005D7103"/>
    <w:rsid w:val="005E63B9"/>
    <w:rsid w:val="00603E06"/>
    <w:rsid w:val="00605503"/>
    <w:rsid w:val="006149FB"/>
    <w:rsid w:val="00616AA0"/>
    <w:rsid w:val="00617C66"/>
    <w:rsid w:val="00623000"/>
    <w:rsid w:val="00630AD6"/>
    <w:rsid w:val="00630E31"/>
    <w:rsid w:val="00640E73"/>
    <w:rsid w:val="00642585"/>
    <w:rsid w:val="00650F99"/>
    <w:rsid w:val="00651FA1"/>
    <w:rsid w:val="00662C4E"/>
    <w:rsid w:val="00664166"/>
    <w:rsid w:val="0066445E"/>
    <w:rsid w:val="006729F9"/>
    <w:rsid w:val="00672E6B"/>
    <w:rsid w:val="006808E6"/>
    <w:rsid w:val="0068181C"/>
    <w:rsid w:val="00686FEA"/>
    <w:rsid w:val="00696C8A"/>
    <w:rsid w:val="006A5A32"/>
    <w:rsid w:val="006C6495"/>
    <w:rsid w:val="006D5FAC"/>
    <w:rsid w:val="006E58F2"/>
    <w:rsid w:val="00710D39"/>
    <w:rsid w:val="0071114E"/>
    <w:rsid w:val="00711935"/>
    <w:rsid w:val="00712AD9"/>
    <w:rsid w:val="007156CA"/>
    <w:rsid w:val="00727B2C"/>
    <w:rsid w:val="00795EE7"/>
    <w:rsid w:val="007A2647"/>
    <w:rsid w:val="007B3BAD"/>
    <w:rsid w:val="007B3BE7"/>
    <w:rsid w:val="007C6D85"/>
    <w:rsid w:val="007D49C6"/>
    <w:rsid w:val="007E79E4"/>
    <w:rsid w:val="007F3182"/>
    <w:rsid w:val="00803966"/>
    <w:rsid w:val="00805CCB"/>
    <w:rsid w:val="008061D7"/>
    <w:rsid w:val="00806A34"/>
    <w:rsid w:val="00811CCC"/>
    <w:rsid w:val="00812156"/>
    <w:rsid w:val="00814A68"/>
    <w:rsid w:val="008170BF"/>
    <w:rsid w:val="008217B7"/>
    <w:rsid w:val="00822D07"/>
    <w:rsid w:val="0082593F"/>
    <w:rsid w:val="00834AE1"/>
    <w:rsid w:val="008451F5"/>
    <w:rsid w:val="00854BD0"/>
    <w:rsid w:val="008564BB"/>
    <w:rsid w:val="00861FD5"/>
    <w:rsid w:val="00864992"/>
    <w:rsid w:val="008740ED"/>
    <w:rsid w:val="00882A6F"/>
    <w:rsid w:val="008830EF"/>
    <w:rsid w:val="0088383A"/>
    <w:rsid w:val="00883DFE"/>
    <w:rsid w:val="008938D5"/>
    <w:rsid w:val="0089598E"/>
    <w:rsid w:val="008959BF"/>
    <w:rsid w:val="00896CAA"/>
    <w:rsid w:val="0089748D"/>
    <w:rsid w:val="008A7E37"/>
    <w:rsid w:val="008B61E4"/>
    <w:rsid w:val="008C0CD8"/>
    <w:rsid w:val="008C4211"/>
    <w:rsid w:val="008C6407"/>
    <w:rsid w:val="008C7AB0"/>
    <w:rsid w:val="008D094A"/>
    <w:rsid w:val="008E67A7"/>
    <w:rsid w:val="008E7DBB"/>
    <w:rsid w:val="0090111F"/>
    <w:rsid w:val="00911C9F"/>
    <w:rsid w:val="00911CAF"/>
    <w:rsid w:val="00921E52"/>
    <w:rsid w:val="0092361A"/>
    <w:rsid w:val="009265FF"/>
    <w:rsid w:val="00926C79"/>
    <w:rsid w:val="009301D5"/>
    <w:rsid w:val="00930292"/>
    <w:rsid w:val="009375F5"/>
    <w:rsid w:val="00942212"/>
    <w:rsid w:val="00942DA6"/>
    <w:rsid w:val="00945362"/>
    <w:rsid w:val="0094716C"/>
    <w:rsid w:val="00950589"/>
    <w:rsid w:val="00952193"/>
    <w:rsid w:val="00953E54"/>
    <w:rsid w:val="00956C2D"/>
    <w:rsid w:val="00957840"/>
    <w:rsid w:val="00966B71"/>
    <w:rsid w:val="0096701D"/>
    <w:rsid w:val="00971901"/>
    <w:rsid w:val="00974A8B"/>
    <w:rsid w:val="009770E9"/>
    <w:rsid w:val="009851C2"/>
    <w:rsid w:val="0098573F"/>
    <w:rsid w:val="00986D00"/>
    <w:rsid w:val="009925F2"/>
    <w:rsid w:val="0099530E"/>
    <w:rsid w:val="00996EC6"/>
    <w:rsid w:val="009A32AB"/>
    <w:rsid w:val="009A4143"/>
    <w:rsid w:val="009A69B0"/>
    <w:rsid w:val="009B6F93"/>
    <w:rsid w:val="009B704F"/>
    <w:rsid w:val="009C4FF8"/>
    <w:rsid w:val="009C79EC"/>
    <w:rsid w:val="009D7BC1"/>
    <w:rsid w:val="009E3C76"/>
    <w:rsid w:val="009E689B"/>
    <w:rsid w:val="009F7E17"/>
    <w:rsid w:val="00A04CD9"/>
    <w:rsid w:val="00A12842"/>
    <w:rsid w:val="00A31EAC"/>
    <w:rsid w:val="00A37663"/>
    <w:rsid w:val="00A62506"/>
    <w:rsid w:val="00A72A05"/>
    <w:rsid w:val="00A7553F"/>
    <w:rsid w:val="00A75E76"/>
    <w:rsid w:val="00A80D7D"/>
    <w:rsid w:val="00A85DF4"/>
    <w:rsid w:val="00A85E23"/>
    <w:rsid w:val="00A907B2"/>
    <w:rsid w:val="00AA21BF"/>
    <w:rsid w:val="00AA4C45"/>
    <w:rsid w:val="00AB3EF9"/>
    <w:rsid w:val="00AC3497"/>
    <w:rsid w:val="00AC3CF0"/>
    <w:rsid w:val="00AD2E0F"/>
    <w:rsid w:val="00AD5FE9"/>
    <w:rsid w:val="00AE2847"/>
    <w:rsid w:val="00AE6E50"/>
    <w:rsid w:val="00AE70BA"/>
    <w:rsid w:val="00AE774F"/>
    <w:rsid w:val="00AF4AD1"/>
    <w:rsid w:val="00B04A9A"/>
    <w:rsid w:val="00B1135B"/>
    <w:rsid w:val="00B11964"/>
    <w:rsid w:val="00B15EED"/>
    <w:rsid w:val="00B231C7"/>
    <w:rsid w:val="00B268CF"/>
    <w:rsid w:val="00B30C0E"/>
    <w:rsid w:val="00B36F12"/>
    <w:rsid w:val="00B378ED"/>
    <w:rsid w:val="00B435EC"/>
    <w:rsid w:val="00B44E52"/>
    <w:rsid w:val="00B52B1C"/>
    <w:rsid w:val="00B66004"/>
    <w:rsid w:val="00B7001A"/>
    <w:rsid w:val="00B72354"/>
    <w:rsid w:val="00BA3ABE"/>
    <w:rsid w:val="00BA69CE"/>
    <w:rsid w:val="00BB66D5"/>
    <w:rsid w:val="00BC2CB5"/>
    <w:rsid w:val="00BD30B7"/>
    <w:rsid w:val="00BE3F1B"/>
    <w:rsid w:val="00BE7046"/>
    <w:rsid w:val="00BE7B39"/>
    <w:rsid w:val="00BE7CFB"/>
    <w:rsid w:val="00BF7386"/>
    <w:rsid w:val="00BF7DF6"/>
    <w:rsid w:val="00C005FC"/>
    <w:rsid w:val="00C232D9"/>
    <w:rsid w:val="00C26B53"/>
    <w:rsid w:val="00C27FF0"/>
    <w:rsid w:val="00C32844"/>
    <w:rsid w:val="00C3735B"/>
    <w:rsid w:val="00C379C1"/>
    <w:rsid w:val="00C4565D"/>
    <w:rsid w:val="00C60D0D"/>
    <w:rsid w:val="00C61A8A"/>
    <w:rsid w:val="00C6755C"/>
    <w:rsid w:val="00C6773F"/>
    <w:rsid w:val="00C70D58"/>
    <w:rsid w:val="00C8655C"/>
    <w:rsid w:val="00C90F2C"/>
    <w:rsid w:val="00C9396A"/>
    <w:rsid w:val="00C970E3"/>
    <w:rsid w:val="00CA0466"/>
    <w:rsid w:val="00CA7D6C"/>
    <w:rsid w:val="00CB2A75"/>
    <w:rsid w:val="00CD2AD8"/>
    <w:rsid w:val="00CD79AC"/>
    <w:rsid w:val="00CE42FB"/>
    <w:rsid w:val="00CE697E"/>
    <w:rsid w:val="00CE728B"/>
    <w:rsid w:val="00CF6715"/>
    <w:rsid w:val="00D130B5"/>
    <w:rsid w:val="00D22D0D"/>
    <w:rsid w:val="00D277A0"/>
    <w:rsid w:val="00D375DD"/>
    <w:rsid w:val="00D45DA5"/>
    <w:rsid w:val="00D4676B"/>
    <w:rsid w:val="00D50A23"/>
    <w:rsid w:val="00D51FBB"/>
    <w:rsid w:val="00D627C9"/>
    <w:rsid w:val="00D67849"/>
    <w:rsid w:val="00D96ABA"/>
    <w:rsid w:val="00DA1F17"/>
    <w:rsid w:val="00DA30DA"/>
    <w:rsid w:val="00DA41D6"/>
    <w:rsid w:val="00DB148F"/>
    <w:rsid w:val="00DB1DBB"/>
    <w:rsid w:val="00DB483C"/>
    <w:rsid w:val="00DC387B"/>
    <w:rsid w:val="00DC6187"/>
    <w:rsid w:val="00DD4993"/>
    <w:rsid w:val="00DE188F"/>
    <w:rsid w:val="00DE276D"/>
    <w:rsid w:val="00DE56B5"/>
    <w:rsid w:val="00DF161E"/>
    <w:rsid w:val="00DF230C"/>
    <w:rsid w:val="00E00C4A"/>
    <w:rsid w:val="00E01881"/>
    <w:rsid w:val="00E05A5B"/>
    <w:rsid w:val="00E116CE"/>
    <w:rsid w:val="00E23D5D"/>
    <w:rsid w:val="00E35D9D"/>
    <w:rsid w:val="00E36E9F"/>
    <w:rsid w:val="00E37D82"/>
    <w:rsid w:val="00E43C65"/>
    <w:rsid w:val="00E43FD2"/>
    <w:rsid w:val="00E4620A"/>
    <w:rsid w:val="00E4663B"/>
    <w:rsid w:val="00E47D54"/>
    <w:rsid w:val="00E54FF6"/>
    <w:rsid w:val="00E57C4B"/>
    <w:rsid w:val="00E707B4"/>
    <w:rsid w:val="00E81A4D"/>
    <w:rsid w:val="00E910E1"/>
    <w:rsid w:val="00E95738"/>
    <w:rsid w:val="00EA0572"/>
    <w:rsid w:val="00EA28AD"/>
    <w:rsid w:val="00EB1CDC"/>
    <w:rsid w:val="00EB6EC0"/>
    <w:rsid w:val="00EC0163"/>
    <w:rsid w:val="00ED293A"/>
    <w:rsid w:val="00ED7BAA"/>
    <w:rsid w:val="00EE198E"/>
    <w:rsid w:val="00EE4C49"/>
    <w:rsid w:val="00EF259C"/>
    <w:rsid w:val="00F0313F"/>
    <w:rsid w:val="00F122AD"/>
    <w:rsid w:val="00F1349B"/>
    <w:rsid w:val="00F20939"/>
    <w:rsid w:val="00F22CDC"/>
    <w:rsid w:val="00F3625A"/>
    <w:rsid w:val="00F41ADB"/>
    <w:rsid w:val="00F468C6"/>
    <w:rsid w:val="00F47967"/>
    <w:rsid w:val="00F6730B"/>
    <w:rsid w:val="00F83C3F"/>
    <w:rsid w:val="00F875B1"/>
    <w:rsid w:val="00F93787"/>
    <w:rsid w:val="00F93D03"/>
    <w:rsid w:val="00F95AE4"/>
    <w:rsid w:val="00FA075E"/>
    <w:rsid w:val="00FA1FAA"/>
    <w:rsid w:val="00FB272C"/>
    <w:rsid w:val="00FC2E3D"/>
    <w:rsid w:val="00FC4A4E"/>
    <w:rsid w:val="00FC59E7"/>
    <w:rsid w:val="00FD21B8"/>
    <w:rsid w:val="00FE1595"/>
    <w:rsid w:val="00FE1FFB"/>
    <w:rsid w:val="00FE7A82"/>
    <w:rsid w:val="00FF0DF5"/>
    <w:rsid w:val="00FF3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3" type="connector" idref="#_x0000_s1030"/>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w:unhideWhenUsed="0"/>
    <w:lsdException w:name="List Bullet 2"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cs="Verdana"/>
      <w:sz w:val="18"/>
      <w:szCs w:val="18"/>
      <w:lang w:val="nl-NL" w:eastAsia="nl-NL"/>
    </w:rPr>
  </w:style>
  <w:style w:type="paragraph" w:styleId="Kop1">
    <w:name w:val="heading 1"/>
    <w:basedOn w:val="Standaard"/>
    <w:next w:val="Standaard"/>
    <w:link w:val="Kop1Char"/>
    <w:uiPriority w:val="99"/>
    <w:qFormat/>
    <w:rsid w:val="00911C9F"/>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911C9F"/>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911C9F"/>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938D5"/>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rsid w:val="008938D5"/>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rsid w:val="008938D5"/>
    <w:rPr>
      <w:rFonts w:ascii="Cambria" w:hAnsi="Cambria" w:cs="Cambria"/>
      <w:b/>
      <w:bCs/>
      <w:sz w:val="26"/>
      <w:szCs w:val="26"/>
      <w:lang w:val="nl-NL" w:eastAsia="nl-NL"/>
    </w:rPr>
  </w:style>
  <w:style w:type="paragraph" w:customStyle="1" w:styleId="Huisstijl-Rubricering">
    <w:name w:val="Huisstijl - Rubricering"/>
    <w:basedOn w:val="Standaard"/>
    <w:next w:val="Standaard"/>
    <w:uiPriority w:val="99"/>
    <w:rsid w:val="00911C9F"/>
    <w:pPr>
      <w:widowControl w:val="0"/>
      <w:suppressAutoHyphens/>
      <w:autoSpaceDN w:val="0"/>
      <w:spacing w:line="180" w:lineRule="exact"/>
      <w:textAlignment w:val="baseline"/>
    </w:pPr>
    <w:rPr>
      <w:b/>
      <w:bCs/>
      <w:smallCaps/>
      <w:kern w:val="3"/>
      <w:sz w:val="13"/>
      <w:szCs w:val="13"/>
      <w:lang w:eastAsia="zh-CN"/>
    </w:rPr>
  </w:style>
  <w:style w:type="character" w:styleId="Hyperlink">
    <w:name w:val="Hyperlink"/>
    <w:basedOn w:val="Standaardalinea-lettertype"/>
    <w:uiPriority w:val="99"/>
    <w:rsid w:val="00911C9F"/>
    <w:rPr>
      <w:color w:val="0000FF"/>
      <w:u w:val="single"/>
    </w:rPr>
  </w:style>
  <w:style w:type="paragraph" w:styleId="Koptekst">
    <w:name w:val="header"/>
    <w:basedOn w:val="Standaard"/>
    <w:link w:val="KoptekstChar"/>
    <w:uiPriority w:val="99"/>
    <w:rsid w:val="00911C9F"/>
    <w:pPr>
      <w:tabs>
        <w:tab w:val="center" w:pos="4536"/>
        <w:tab w:val="right" w:pos="9072"/>
      </w:tabs>
    </w:pPr>
  </w:style>
  <w:style w:type="character" w:customStyle="1" w:styleId="KoptekstChar">
    <w:name w:val="Koptekst Char"/>
    <w:basedOn w:val="Standaardalinea-lettertype"/>
    <w:link w:val="Koptekst"/>
    <w:uiPriority w:val="99"/>
    <w:semiHidden/>
    <w:rsid w:val="008938D5"/>
    <w:rPr>
      <w:rFonts w:ascii="Verdana" w:hAnsi="Verdana" w:cs="Verdana"/>
      <w:sz w:val="18"/>
      <w:szCs w:val="18"/>
      <w:lang w:val="nl-NL" w:eastAsia="nl-NL"/>
    </w:rPr>
  </w:style>
  <w:style w:type="paragraph" w:styleId="Lijstopsomteken">
    <w:name w:val="List Bullet"/>
    <w:basedOn w:val="Standaard"/>
    <w:uiPriority w:val="99"/>
    <w:rsid w:val="00911C9F"/>
    <w:pPr>
      <w:numPr>
        <w:numId w:val="10"/>
      </w:numPr>
    </w:pPr>
    <w:rPr>
      <w:noProof/>
    </w:rPr>
  </w:style>
  <w:style w:type="paragraph" w:styleId="Lijstopsomteken2">
    <w:name w:val="List Bullet 2"/>
    <w:basedOn w:val="Standaard"/>
    <w:uiPriority w:val="99"/>
    <w:rsid w:val="00911C9F"/>
    <w:pPr>
      <w:numPr>
        <w:numId w:val="12"/>
      </w:numPr>
      <w:tabs>
        <w:tab w:val="clear" w:pos="227"/>
        <w:tab w:val="num" w:pos="360"/>
        <w:tab w:val="left" w:pos="454"/>
      </w:tabs>
      <w:ind w:left="0"/>
    </w:pPr>
    <w:rPr>
      <w:noProof/>
    </w:rPr>
  </w:style>
  <w:style w:type="table" w:styleId="Tabelraster">
    <w:name w:val="Table Grid"/>
    <w:basedOn w:val="Standaardtabel"/>
    <w:uiPriority w:val="99"/>
    <w:rsid w:val="00911C9F"/>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911C9F"/>
    <w:pPr>
      <w:tabs>
        <w:tab w:val="center" w:pos="4536"/>
        <w:tab w:val="right" w:pos="9072"/>
      </w:tabs>
    </w:pPr>
  </w:style>
  <w:style w:type="character" w:customStyle="1" w:styleId="VoettekstChar">
    <w:name w:val="Voettekst Char"/>
    <w:basedOn w:val="Standaardalinea-lettertype"/>
    <w:link w:val="Voettekst"/>
    <w:uiPriority w:val="99"/>
    <w:semiHidden/>
    <w:rsid w:val="008938D5"/>
    <w:rPr>
      <w:rFonts w:ascii="Verdana" w:hAnsi="Verdana" w:cs="Verdana"/>
      <w:sz w:val="18"/>
      <w:szCs w:val="18"/>
      <w:lang w:val="nl-NL" w:eastAsia="nl-NL"/>
    </w:rPr>
  </w:style>
  <w:style w:type="paragraph" w:styleId="Voetnoottekst">
    <w:name w:val="footnote text"/>
    <w:basedOn w:val="Standaard"/>
    <w:link w:val="VoetnoottekstChar"/>
    <w:uiPriority w:val="99"/>
    <w:semiHidden/>
    <w:rsid w:val="00911C9F"/>
    <w:pPr>
      <w:spacing w:line="180" w:lineRule="atLeast"/>
    </w:pPr>
    <w:rPr>
      <w:sz w:val="13"/>
      <w:szCs w:val="13"/>
    </w:rPr>
  </w:style>
  <w:style w:type="character" w:customStyle="1" w:styleId="VoetnoottekstChar">
    <w:name w:val="Voetnoottekst Char"/>
    <w:basedOn w:val="Standaardalinea-lettertype"/>
    <w:link w:val="Voetnoottekst"/>
    <w:uiPriority w:val="99"/>
    <w:rsid w:val="007E79E4"/>
    <w:rPr>
      <w:rFonts w:ascii="Verdana" w:hAnsi="Verdana" w:cs="Verdana"/>
      <w:sz w:val="13"/>
      <w:szCs w:val="13"/>
    </w:rPr>
  </w:style>
  <w:style w:type="paragraph" w:styleId="Ballontekst">
    <w:name w:val="Balloon Text"/>
    <w:basedOn w:val="Standaard"/>
    <w:link w:val="BallontekstChar"/>
    <w:uiPriority w:val="99"/>
    <w:semiHidden/>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uiPriority w:val="99"/>
    <w:rsid w:val="00911C9F"/>
    <w:pPr>
      <w:widowControl w:val="0"/>
      <w:suppressAutoHyphens/>
      <w:autoSpaceDN w:val="0"/>
      <w:spacing w:after="283" w:line="180" w:lineRule="exact"/>
      <w:textAlignment w:val="baseline"/>
    </w:pPr>
    <w:rPr>
      <w:kern w:val="3"/>
      <w:sz w:val="13"/>
      <w:szCs w:val="13"/>
      <w:lang w:eastAsia="zh-CN"/>
    </w:rPr>
  </w:style>
  <w:style w:type="paragraph" w:customStyle="1" w:styleId="Huisstijl-Afzendgegevenskop">
    <w:name w:val="Huisstijl - Afzendgegevens kop"/>
    <w:basedOn w:val="Standaard"/>
    <w:uiPriority w:val="99"/>
    <w:rsid w:val="00911C9F"/>
    <w:pPr>
      <w:widowControl w:val="0"/>
      <w:suppressAutoHyphens/>
      <w:autoSpaceDN w:val="0"/>
      <w:spacing w:line="180" w:lineRule="exact"/>
      <w:textAlignment w:val="baseline"/>
    </w:pPr>
    <w:rPr>
      <w:b/>
      <w:bCs/>
      <w:kern w:val="3"/>
      <w:sz w:val="13"/>
      <w:szCs w:val="13"/>
      <w:lang w:eastAsia="zh-CN"/>
    </w:rPr>
  </w:style>
  <w:style w:type="paragraph" w:customStyle="1" w:styleId="Huisstijl-Afzendgegevens">
    <w:name w:val="Huisstijl - Afzendgegevens"/>
    <w:basedOn w:val="Standaard"/>
    <w:uiPriority w:val="99"/>
    <w:rsid w:val="00911C9F"/>
    <w:pPr>
      <w:widowControl w:val="0"/>
      <w:tabs>
        <w:tab w:val="left" w:pos="170"/>
      </w:tabs>
      <w:suppressAutoHyphens/>
      <w:autoSpaceDN w:val="0"/>
      <w:spacing w:line="180" w:lineRule="exact"/>
      <w:textAlignment w:val="baseline"/>
    </w:pPr>
    <w:rPr>
      <w:kern w:val="3"/>
      <w:sz w:val="13"/>
      <w:szCs w:val="13"/>
      <w:lang w:eastAsia="zh-CN"/>
    </w:rPr>
  </w:style>
  <w:style w:type="paragraph" w:customStyle="1" w:styleId="Huisstijl-AfzendgegevensW1">
    <w:name w:val="Huisstijl - Afzendgegevens W1"/>
    <w:basedOn w:val="Huisstijl-Afzendgegevens"/>
    <w:uiPriority w:val="99"/>
    <w:rsid w:val="00911C9F"/>
    <w:pPr>
      <w:spacing w:before="90"/>
    </w:pPr>
  </w:style>
  <w:style w:type="paragraph" w:customStyle="1" w:styleId="Huisstijl-ReferentiegegevenskopW1">
    <w:name w:val="Huisstijl - Referentiegegevens kop W1"/>
    <w:basedOn w:val="Standaard"/>
    <w:next w:val="Huisstijl-Referentiegegevens"/>
    <w:uiPriority w:val="99"/>
    <w:rsid w:val="00911C9F"/>
    <w:pPr>
      <w:widowControl w:val="0"/>
      <w:suppressAutoHyphens/>
      <w:autoSpaceDN w:val="0"/>
      <w:spacing w:before="90" w:line="180" w:lineRule="exact"/>
      <w:textAlignment w:val="baseline"/>
    </w:pPr>
    <w:rPr>
      <w:b/>
      <w:bCs/>
      <w:kern w:val="3"/>
      <w:sz w:val="13"/>
      <w:szCs w:val="13"/>
      <w:lang w:eastAsia="zh-CN"/>
    </w:rPr>
  </w:style>
  <w:style w:type="paragraph" w:customStyle="1" w:styleId="Huisstijl-Referentiegegevens">
    <w:name w:val="Huisstijl - Referentiegegevens"/>
    <w:basedOn w:val="Standaard"/>
    <w:uiPriority w:val="99"/>
    <w:rsid w:val="00911C9F"/>
    <w:pPr>
      <w:widowControl w:val="0"/>
      <w:suppressAutoHyphens/>
      <w:autoSpaceDN w:val="0"/>
      <w:spacing w:line="180" w:lineRule="exact"/>
      <w:textAlignment w:val="baseline"/>
    </w:pPr>
    <w:rPr>
      <w:kern w:val="3"/>
      <w:sz w:val="13"/>
      <w:szCs w:val="13"/>
      <w:lang w:eastAsia="zh-CN"/>
    </w:rPr>
  </w:style>
  <w:style w:type="paragraph" w:customStyle="1" w:styleId="Huisstijl-ReferentiegegevenskopW2">
    <w:name w:val="Huisstijl - Referentiegegevens kop W2"/>
    <w:basedOn w:val="Standaard"/>
    <w:next w:val="Huisstijl-Referentiegegevens"/>
    <w:uiPriority w:val="99"/>
    <w:rsid w:val="00911C9F"/>
    <w:pPr>
      <w:widowControl w:val="0"/>
      <w:suppressAutoHyphens/>
      <w:autoSpaceDN w:val="0"/>
      <w:spacing w:before="270" w:line="180" w:lineRule="exact"/>
      <w:textAlignment w:val="baseline"/>
    </w:pPr>
    <w:rPr>
      <w:b/>
      <w:bCs/>
      <w:kern w:val="3"/>
      <w:sz w:val="13"/>
      <w:szCs w:val="13"/>
      <w:lang w:eastAsia="zh-CN"/>
    </w:rPr>
  </w:style>
  <w:style w:type="paragraph" w:customStyle="1" w:styleId="Huisstijl-AfzendgegevenskopW1">
    <w:name w:val="Huisstijl - Afzendgegevens kop W1"/>
    <w:basedOn w:val="Huisstijl-Afzendgegevenskop"/>
    <w:uiPriority w:val="99"/>
    <w:rsid w:val="00911C9F"/>
    <w:pPr>
      <w:spacing w:before="90"/>
    </w:pPr>
  </w:style>
  <w:style w:type="paragraph" w:customStyle="1" w:styleId="Huisstijl-Paginanummer">
    <w:name w:val="Huisstijl - Paginanummer"/>
    <w:basedOn w:val="Standaard"/>
    <w:uiPriority w:val="99"/>
    <w:rsid w:val="00911C9F"/>
    <w:pPr>
      <w:widowControl w:val="0"/>
      <w:suppressAutoHyphens/>
      <w:autoSpaceDN w:val="0"/>
      <w:spacing w:line="240" w:lineRule="auto"/>
      <w:textAlignment w:val="baseline"/>
    </w:pPr>
    <w:rPr>
      <w:kern w:val="3"/>
      <w:sz w:val="13"/>
      <w:szCs w:val="13"/>
      <w:lang w:eastAsia="zh-CN"/>
    </w:rPr>
  </w:style>
  <w:style w:type="paragraph" w:customStyle="1" w:styleId="Huisstijl-Datumenbetreft">
    <w:name w:val="Huisstijl - Datum en betreft"/>
    <w:basedOn w:val="Standaard"/>
    <w:uiPriority w:val="99"/>
    <w:rsid w:val="00911C9F"/>
    <w:pPr>
      <w:widowControl w:val="0"/>
      <w:tabs>
        <w:tab w:val="left" w:pos="1117"/>
      </w:tabs>
      <w:suppressAutoHyphens/>
      <w:autoSpaceDN w:val="0"/>
      <w:spacing w:line="240" w:lineRule="exact"/>
      <w:textAlignment w:val="baseline"/>
    </w:pPr>
    <w:rPr>
      <w:kern w:val="3"/>
      <w:lang w:eastAsia="zh-CN"/>
    </w:rPr>
  </w:style>
  <w:style w:type="paragraph" w:customStyle="1" w:styleId="Huisstijl-Gegevenskop">
    <w:name w:val="Huisstijl - Gegevens kop"/>
    <w:basedOn w:val="Standaard"/>
    <w:uiPriority w:val="99"/>
    <w:rsid w:val="00911C9F"/>
    <w:pPr>
      <w:widowControl w:val="0"/>
      <w:suppressAutoHyphens/>
      <w:autoSpaceDN w:val="0"/>
      <w:spacing w:line="240" w:lineRule="exact"/>
      <w:textAlignment w:val="baseline"/>
    </w:pPr>
    <w:rPr>
      <w:kern w:val="3"/>
      <w:sz w:val="13"/>
      <w:szCs w:val="13"/>
      <w:lang w:eastAsia="zh-CN"/>
    </w:rPr>
  </w:style>
  <w:style w:type="paragraph" w:customStyle="1" w:styleId="Huisstijl-Gegevens">
    <w:name w:val="Huisstijl - Gegevens"/>
    <w:basedOn w:val="Huisstijl-Gegevenskop"/>
    <w:uiPriority w:val="99"/>
    <w:rsid w:val="00911C9F"/>
    <w:rPr>
      <w:sz w:val="18"/>
      <w:szCs w:val="18"/>
    </w:rPr>
  </w:style>
  <w:style w:type="paragraph" w:customStyle="1" w:styleId="Huisstijl-Ondertekening">
    <w:name w:val="Huisstijl - Ondertekening"/>
    <w:basedOn w:val="Standaard"/>
    <w:next w:val="Standaard"/>
    <w:uiPriority w:val="99"/>
    <w:rsid w:val="00911C9F"/>
    <w:pPr>
      <w:widowControl w:val="0"/>
      <w:suppressAutoHyphens/>
      <w:autoSpaceDN w:val="0"/>
      <w:spacing w:before="240" w:line="240" w:lineRule="exact"/>
      <w:textAlignment w:val="baseline"/>
    </w:pPr>
    <w:rPr>
      <w:kern w:val="3"/>
      <w:lang w:eastAsia="zh-CN"/>
    </w:rPr>
  </w:style>
  <w:style w:type="paragraph" w:customStyle="1" w:styleId="Huisstijl-Ondertekeningvervolg">
    <w:name w:val="Huisstijl - Ondertekening vervolg"/>
    <w:basedOn w:val="Huisstijl-Ondertekening"/>
    <w:uiPriority w:val="99"/>
    <w:rsid w:val="00911C9F"/>
    <w:pPr>
      <w:spacing w:before="0"/>
    </w:pPr>
  </w:style>
  <w:style w:type="paragraph" w:customStyle="1" w:styleId="Huisstijl-Ondertekeningvervolgtitel">
    <w:name w:val="Huisstijl - Ondertekening vervolg titel"/>
    <w:basedOn w:val="Huisstijl-Ondertekeningvervolg"/>
    <w:uiPriority w:val="99"/>
    <w:rsid w:val="00911C9F"/>
    <w:rPr>
      <w:i/>
      <w:iCs/>
      <w:noProof/>
    </w:rPr>
  </w:style>
  <w:style w:type="paragraph" w:customStyle="1" w:styleId="Huisstijl-Slotzin">
    <w:name w:val="Huisstijl - Slotzin"/>
    <w:basedOn w:val="Standaard"/>
    <w:next w:val="Huisstijl-Ondertekening"/>
    <w:uiPriority w:val="99"/>
    <w:rsid w:val="00911C9F"/>
    <w:pPr>
      <w:widowControl w:val="0"/>
      <w:suppressAutoHyphens/>
      <w:autoSpaceDN w:val="0"/>
      <w:spacing w:before="240" w:line="240" w:lineRule="exact"/>
      <w:textAlignment w:val="baseline"/>
    </w:pPr>
    <w:rPr>
      <w:kern w:val="3"/>
      <w:lang w:eastAsia="zh-C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kern w:val="3"/>
      <w:lang w:eastAsia="zh-CN"/>
    </w:rPr>
  </w:style>
  <w:style w:type="paragraph" w:styleId="Lijstalinea">
    <w:name w:val="List Paragraph"/>
    <w:basedOn w:val="Standaard"/>
    <w:uiPriority w:val="34"/>
    <w:qFormat/>
    <w:rsid w:val="00137B39"/>
    <w:pPr>
      <w:ind w:left="720"/>
      <w:contextualSpacing/>
    </w:pPr>
  </w:style>
  <w:style w:type="character" w:styleId="Verwijzingopmerking">
    <w:name w:val="annotation reference"/>
    <w:basedOn w:val="Standaardalinea-lettertype"/>
    <w:uiPriority w:val="99"/>
    <w:semiHidden/>
    <w:rsid w:val="00FB272C"/>
    <w:rPr>
      <w:sz w:val="16"/>
      <w:szCs w:val="16"/>
    </w:rPr>
  </w:style>
  <w:style w:type="paragraph" w:styleId="Tekstopmerking">
    <w:name w:val="annotation text"/>
    <w:basedOn w:val="Standaard"/>
    <w:link w:val="TekstopmerkingChar"/>
    <w:uiPriority w:val="99"/>
    <w:semiHidden/>
    <w:rsid w:val="00FB27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72C"/>
    <w:rPr>
      <w:rFonts w:ascii="Verdana" w:hAnsi="Verdana" w:cs="Verdana"/>
    </w:rPr>
  </w:style>
  <w:style w:type="paragraph" w:styleId="Onderwerpvanopmerking">
    <w:name w:val="annotation subject"/>
    <w:basedOn w:val="Tekstopmerking"/>
    <w:next w:val="Tekstopmerking"/>
    <w:link w:val="OnderwerpvanopmerkingChar"/>
    <w:uiPriority w:val="99"/>
    <w:semiHidden/>
    <w:rsid w:val="00FB272C"/>
    <w:rPr>
      <w:b/>
      <w:bCs/>
    </w:rPr>
  </w:style>
  <w:style w:type="character" w:customStyle="1" w:styleId="OnderwerpvanopmerkingChar">
    <w:name w:val="Onderwerp van opmerking Char"/>
    <w:basedOn w:val="TekstopmerkingChar"/>
    <w:link w:val="Onderwerpvanopmerking"/>
    <w:uiPriority w:val="99"/>
    <w:semiHidden/>
    <w:rsid w:val="00FB272C"/>
    <w:rPr>
      <w:rFonts w:ascii="Verdana" w:hAnsi="Verdana" w:cs="Verdana"/>
      <w:b/>
      <w:bCs/>
    </w:rPr>
  </w:style>
  <w:style w:type="character" w:styleId="Voetnootmarkering">
    <w:name w:val="footnote reference"/>
    <w:basedOn w:val="Standaardalinea-lettertype"/>
    <w:uiPriority w:val="99"/>
    <w:semiHidden/>
    <w:rsid w:val="007E79E4"/>
    <w:rPr>
      <w:vertAlign w:val="superscript"/>
    </w:rPr>
  </w:style>
  <w:style w:type="paragraph" w:customStyle="1" w:styleId="Huisstijl-NAW">
    <w:name w:val="Huisstijl-NAW"/>
    <w:basedOn w:val="Standaard"/>
    <w:uiPriority w:val="99"/>
    <w:rsid w:val="00ED7BAA"/>
    <w:pPr>
      <w:adjustRightInd w:val="0"/>
    </w:pPr>
    <w:rPr>
      <w:noProof/>
    </w:rPr>
  </w:style>
  <w:style w:type="paragraph" w:customStyle="1" w:styleId="Hoofdtekst">
    <w:name w:val="Hoofdtekst"/>
    <w:rsid w:val="000E0C57"/>
    <w:pPr>
      <w:pBdr>
        <w:top w:val="nil"/>
        <w:left w:val="nil"/>
        <w:bottom w:val="nil"/>
        <w:right w:val="nil"/>
        <w:between w:val="nil"/>
        <w:bar w:val="nil"/>
      </w:pBdr>
    </w:pPr>
    <w:rPr>
      <w:rFonts w:ascii="Helvetica" w:eastAsia="Arial Unicode MS" w:hAnsi="Arial Unicode MS" w:cs="Arial Unicode MS"/>
      <w:color w:val="000000"/>
      <w:bdr w:val="ni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w:unhideWhenUsed="0"/>
    <w:lsdException w:name="List Bullet 2"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cs="Verdana"/>
      <w:sz w:val="18"/>
      <w:szCs w:val="18"/>
      <w:lang w:val="nl-NL" w:eastAsia="nl-NL"/>
    </w:rPr>
  </w:style>
  <w:style w:type="paragraph" w:styleId="Kop1">
    <w:name w:val="heading 1"/>
    <w:basedOn w:val="Standaard"/>
    <w:next w:val="Standaard"/>
    <w:link w:val="Kop1Char"/>
    <w:uiPriority w:val="99"/>
    <w:qFormat/>
    <w:rsid w:val="00911C9F"/>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911C9F"/>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911C9F"/>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938D5"/>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rsid w:val="008938D5"/>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rsid w:val="008938D5"/>
    <w:rPr>
      <w:rFonts w:ascii="Cambria" w:hAnsi="Cambria" w:cs="Cambria"/>
      <w:b/>
      <w:bCs/>
      <w:sz w:val="26"/>
      <w:szCs w:val="26"/>
      <w:lang w:val="nl-NL" w:eastAsia="nl-NL"/>
    </w:rPr>
  </w:style>
  <w:style w:type="paragraph" w:customStyle="1" w:styleId="Huisstijl-Rubricering">
    <w:name w:val="Huisstijl - Rubricering"/>
    <w:basedOn w:val="Standaard"/>
    <w:next w:val="Standaard"/>
    <w:uiPriority w:val="99"/>
    <w:rsid w:val="00911C9F"/>
    <w:pPr>
      <w:widowControl w:val="0"/>
      <w:suppressAutoHyphens/>
      <w:autoSpaceDN w:val="0"/>
      <w:spacing w:line="180" w:lineRule="exact"/>
      <w:textAlignment w:val="baseline"/>
    </w:pPr>
    <w:rPr>
      <w:b/>
      <w:bCs/>
      <w:smallCaps/>
      <w:kern w:val="3"/>
      <w:sz w:val="13"/>
      <w:szCs w:val="13"/>
      <w:lang w:eastAsia="zh-CN"/>
    </w:rPr>
  </w:style>
  <w:style w:type="character" w:styleId="Hyperlink">
    <w:name w:val="Hyperlink"/>
    <w:basedOn w:val="Standaardalinea-lettertype"/>
    <w:uiPriority w:val="99"/>
    <w:rsid w:val="00911C9F"/>
    <w:rPr>
      <w:color w:val="0000FF"/>
      <w:u w:val="single"/>
    </w:rPr>
  </w:style>
  <w:style w:type="paragraph" w:styleId="Koptekst">
    <w:name w:val="header"/>
    <w:basedOn w:val="Standaard"/>
    <w:link w:val="KoptekstChar"/>
    <w:uiPriority w:val="99"/>
    <w:rsid w:val="00911C9F"/>
    <w:pPr>
      <w:tabs>
        <w:tab w:val="center" w:pos="4536"/>
        <w:tab w:val="right" w:pos="9072"/>
      </w:tabs>
    </w:pPr>
  </w:style>
  <w:style w:type="character" w:customStyle="1" w:styleId="KoptekstChar">
    <w:name w:val="Koptekst Char"/>
    <w:basedOn w:val="Standaardalinea-lettertype"/>
    <w:link w:val="Koptekst"/>
    <w:uiPriority w:val="99"/>
    <w:semiHidden/>
    <w:rsid w:val="008938D5"/>
    <w:rPr>
      <w:rFonts w:ascii="Verdana" w:hAnsi="Verdana" w:cs="Verdana"/>
      <w:sz w:val="18"/>
      <w:szCs w:val="18"/>
      <w:lang w:val="nl-NL" w:eastAsia="nl-NL"/>
    </w:rPr>
  </w:style>
  <w:style w:type="paragraph" w:styleId="Lijstopsomteken">
    <w:name w:val="List Bullet"/>
    <w:basedOn w:val="Standaard"/>
    <w:uiPriority w:val="99"/>
    <w:rsid w:val="00911C9F"/>
    <w:pPr>
      <w:numPr>
        <w:numId w:val="10"/>
      </w:numPr>
    </w:pPr>
    <w:rPr>
      <w:noProof/>
    </w:rPr>
  </w:style>
  <w:style w:type="paragraph" w:styleId="Lijstopsomteken2">
    <w:name w:val="List Bullet 2"/>
    <w:basedOn w:val="Standaard"/>
    <w:uiPriority w:val="99"/>
    <w:rsid w:val="00911C9F"/>
    <w:pPr>
      <w:numPr>
        <w:numId w:val="12"/>
      </w:numPr>
      <w:tabs>
        <w:tab w:val="clear" w:pos="227"/>
        <w:tab w:val="num" w:pos="360"/>
        <w:tab w:val="left" w:pos="454"/>
      </w:tabs>
      <w:ind w:left="0"/>
    </w:pPr>
    <w:rPr>
      <w:noProof/>
    </w:rPr>
  </w:style>
  <w:style w:type="table" w:styleId="Tabelraster">
    <w:name w:val="Table Grid"/>
    <w:basedOn w:val="Standaardtabel"/>
    <w:uiPriority w:val="99"/>
    <w:rsid w:val="00911C9F"/>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911C9F"/>
    <w:pPr>
      <w:tabs>
        <w:tab w:val="center" w:pos="4536"/>
        <w:tab w:val="right" w:pos="9072"/>
      </w:tabs>
    </w:pPr>
  </w:style>
  <w:style w:type="character" w:customStyle="1" w:styleId="VoettekstChar">
    <w:name w:val="Voettekst Char"/>
    <w:basedOn w:val="Standaardalinea-lettertype"/>
    <w:link w:val="Voettekst"/>
    <w:uiPriority w:val="99"/>
    <w:semiHidden/>
    <w:rsid w:val="008938D5"/>
    <w:rPr>
      <w:rFonts w:ascii="Verdana" w:hAnsi="Verdana" w:cs="Verdana"/>
      <w:sz w:val="18"/>
      <w:szCs w:val="18"/>
      <w:lang w:val="nl-NL" w:eastAsia="nl-NL"/>
    </w:rPr>
  </w:style>
  <w:style w:type="paragraph" w:styleId="Voetnoottekst">
    <w:name w:val="footnote text"/>
    <w:basedOn w:val="Standaard"/>
    <w:link w:val="VoetnoottekstChar"/>
    <w:uiPriority w:val="99"/>
    <w:semiHidden/>
    <w:rsid w:val="00911C9F"/>
    <w:pPr>
      <w:spacing w:line="180" w:lineRule="atLeast"/>
    </w:pPr>
    <w:rPr>
      <w:sz w:val="13"/>
      <w:szCs w:val="13"/>
    </w:rPr>
  </w:style>
  <w:style w:type="character" w:customStyle="1" w:styleId="VoetnoottekstChar">
    <w:name w:val="Voetnoottekst Char"/>
    <w:basedOn w:val="Standaardalinea-lettertype"/>
    <w:link w:val="Voetnoottekst"/>
    <w:uiPriority w:val="99"/>
    <w:rsid w:val="007E79E4"/>
    <w:rPr>
      <w:rFonts w:ascii="Verdana" w:hAnsi="Verdana" w:cs="Verdana"/>
      <w:sz w:val="13"/>
      <w:szCs w:val="13"/>
    </w:rPr>
  </w:style>
  <w:style w:type="paragraph" w:styleId="Ballontekst">
    <w:name w:val="Balloon Text"/>
    <w:basedOn w:val="Standaard"/>
    <w:link w:val="BallontekstChar"/>
    <w:uiPriority w:val="99"/>
    <w:semiHidden/>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uiPriority w:val="99"/>
    <w:rsid w:val="00911C9F"/>
    <w:pPr>
      <w:widowControl w:val="0"/>
      <w:suppressAutoHyphens/>
      <w:autoSpaceDN w:val="0"/>
      <w:spacing w:after="283" w:line="180" w:lineRule="exact"/>
      <w:textAlignment w:val="baseline"/>
    </w:pPr>
    <w:rPr>
      <w:kern w:val="3"/>
      <w:sz w:val="13"/>
      <w:szCs w:val="13"/>
      <w:lang w:eastAsia="zh-CN"/>
    </w:rPr>
  </w:style>
  <w:style w:type="paragraph" w:customStyle="1" w:styleId="Huisstijl-Afzendgegevenskop">
    <w:name w:val="Huisstijl - Afzendgegevens kop"/>
    <w:basedOn w:val="Standaard"/>
    <w:uiPriority w:val="99"/>
    <w:rsid w:val="00911C9F"/>
    <w:pPr>
      <w:widowControl w:val="0"/>
      <w:suppressAutoHyphens/>
      <w:autoSpaceDN w:val="0"/>
      <w:spacing w:line="180" w:lineRule="exact"/>
      <w:textAlignment w:val="baseline"/>
    </w:pPr>
    <w:rPr>
      <w:b/>
      <w:bCs/>
      <w:kern w:val="3"/>
      <w:sz w:val="13"/>
      <w:szCs w:val="13"/>
      <w:lang w:eastAsia="zh-CN"/>
    </w:rPr>
  </w:style>
  <w:style w:type="paragraph" w:customStyle="1" w:styleId="Huisstijl-Afzendgegevens">
    <w:name w:val="Huisstijl - Afzendgegevens"/>
    <w:basedOn w:val="Standaard"/>
    <w:uiPriority w:val="99"/>
    <w:rsid w:val="00911C9F"/>
    <w:pPr>
      <w:widowControl w:val="0"/>
      <w:tabs>
        <w:tab w:val="left" w:pos="170"/>
      </w:tabs>
      <w:suppressAutoHyphens/>
      <w:autoSpaceDN w:val="0"/>
      <w:spacing w:line="180" w:lineRule="exact"/>
      <w:textAlignment w:val="baseline"/>
    </w:pPr>
    <w:rPr>
      <w:kern w:val="3"/>
      <w:sz w:val="13"/>
      <w:szCs w:val="13"/>
      <w:lang w:eastAsia="zh-CN"/>
    </w:rPr>
  </w:style>
  <w:style w:type="paragraph" w:customStyle="1" w:styleId="Huisstijl-AfzendgegevensW1">
    <w:name w:val="Huisstijl - Afzendgegevens W1"/>
    <w:basedOn w:val="Huisstijl-Afzendgegevens"/>
    <w:uiPriority w:val="99"/>
    <w:rsid w:val="00911C9F"/>
    <w:pPr>
      <w:spacing w:before="90"/>
    </w:pPr>
  </w:style>
  <w:style w:type="paragraph" w:customStyle="1" w:styleId="Huisstijl-ReferentiegegevenskopW1">
    <w:name w:val="Huisstijl - Referentiegegevens kop W1"/>
    <w:basedOn w:val="Standaard"/>
    <w:next w:val="Huisstijl-Referentiegegevens"/>
    <w:uiPriority w:val="99"/>
    <w:rsid w:val="00911C9F"/>
    <w:pPr>
      <w:widowControl w:val="0"/>
      <w:suppressAutoHyphens/>
      <w:autoSpaceDN w:val="0"/>
      <w:spacing w:before="90" w:line="180" w:lineRule="exact"/>
      <w:textAlignment w:val="baseline"/>
    </w:pPr>
    <w:rPr>
      <w:b/>
      <w:bCs/>
      <w:kern w:val="3"/>
      <w:sz w:val="13"/>
      <w:szCs w:val="13"/>
      <w:lang w:eastAsia="zh-CN"/>
    </w:rPr>
  </w:style>
  <w:style w:type="paragraph" w:customStyle="1" w:styleId="Huisstijl-Referentiegegevens">
    <w:name w:val="Huisstijl - Referentiegegevens"/>
    <w:basedOn w:val="Standaard"/>
    <w:uiPriority w:val="99"/>
    <w:rsid w:val="00911C9F"/>
    <w:pPr>
      <w:widowControl w:val="0"/>
      <w:suppressAutoHyphens/>
      <w:autoSpaceDN w:val="0"/>
      <w:spacing w:line="180" w:lineRule="exact"/>
      <w:textAlignment w:val="baseline"/>
    </w:pPr>
    <w:rPr>
      <w:kern w:val="3"/>
      <w:sz w:val="13"/>
      <w:szCs w:val="13"/>
      <w:lang w:eastAsia="zh-CN"/>
    </w:rPr>
  </w:style>
  <w:style w:type="paragraph" w:customStyle="1" w:styleId="Huisstijl-ReferentiegegevenskopW2">
    <w:name w:val="Huisstijl - Referentiegegevens kop W2"/>
    <w:basedOn w:val="Standaard"/>
    <w:next w:val="Huisstijl-Referentiegegevens"/>
    <w:uiPriority w:val="99"/>
    <w:rsid w:val="00911C9F"/>
    <w:pPr>
      <w:widowControl w:val="0"/>
      <w:suppressAutoHyphens/>
      <w:autoSpaceDN w:val="0"/>
      <w:spacing w:before="270" w:line="180" w:lineRule="exact"/>
      <w:textAlignment w:val="baseline"/>
    </w:pPr>
    <w:rPr>
      <w:b/>
      <w:bCs/>
      <w:kern w:val="3"/>
      <w:sz w:val="13"/>
      <w:szCs w:val="13"/>
      <w:lang w:eastAsia="zh-CN"/>
    </w:rPr>
  </w:style>
  <w:style w:type="paragraph" w:customStyle="1" w:styleId="Huisstijl-AfzendgegevenskopW1">
    <w:name w:val="Huisstijl - Afzendgegevens kop W1"/>
    <w:basedOn w:val="Huisstijl-Afzendgegevenskop"/>
    <w:uiPriority w:val="99"/>
    <w:rsid w:val="00911C9F"/>
    <w:pPr>
      <w:spacing w:before="90"/>
    </w:pPr>
  </w:style>
  <w:style w:type="paragraph" w:customStyle="1" w:styleId="Huisstijl-Paginanummer">
    <w:name w:val="Huisstijl - Paginanummer"/>
    <w:basedOn w:val="Standaard"/>
    <w:uiPriority w:val="99"/>
    <w:rsid w:val="00911C9F"/>
    <w:pPr>
      <w:widowControl w:val="0"/>
      <w:suppressAutoHyphens/>
      <w:autoSpaceDN w:val="0"/>
      <w:spacing w:line="240" w:lineRule="auto"/>
      <w:textAlignment w:val="baseline"/>
    </w:pPr>
    <w:rPr>
      <w:kern w:val="3"/>
      <w:sz w:val="13"/>
      <w:szCs w:val="13"/>
      <w:lang w:eastAsia="zh-CN"/>
    </w:rPr>
  </w:style>
  <w:style w:type="paragraph" w:customStyle="1" w:styleId="Huisstijl-Datumenbetreft">
    <w:name w:val="Huisstijl - Datum en betreft"/>
    <w:basedOn w:val="Standaard"/>
    <w:uiPriority w:val="99"/>
    <w:rsid w:val="00911C9F"/>
    <w:pPr>
      <w:widowControl w:val="0"/>
      <w:tabs>
        <w:tab w:val="left" w:pos="1117"/>
      </w:tabs>
      <w:suppressAutoHyphens/>
      <w:autoSpaceDN w:val="0"/>
      <w:spacing w:line="240" w:lineRule="exact"/>
      <w:textAlignment w:val="baseline"/>
    </w:pPr>
    <w:rPr>
      <w:kern w:val="3"/>
      <w:lang w:eastAsia="zh-CN"/>
    </w:rPr>
  </w:style>
  <w:style w:type="paragraph" w:customStyle="1" w:styleId="Huisstijl-Gegevenskop">
    <w:name w:val="Huisstijl - Gegevens kop"/>
    <w:basedOn w:val="Standaard"/>
    <w:uiPriority w:val="99"/>
    <w:rsid w:val="00911C9F"/>
    <w:pPr>
      <w:widowControl w:val="0"/>
      <w:suppressAutoHyphens/>
      <w:autoSpaceDN w:val="0"/>
      <w:spacing w:line="240" w:lineRule="exact"/>
      <w:textAlignment w:val="baseline"/>
    </w:pPr>
    <w:rPr>
      <w:kern w:val="3"/>
      <w:sz w:val="13"/>
      <w:szCs w:val="13"/>
      <w:lang w:eastAsia="zh-CN"/>
    </w:rPr>
  </w:style>
  <w:style w:type="paragraph" w:customStyle="1" w:styleId="Huisstijl-Gegevens">
    <w:name w:val="Huisstijl - Gegevens"/>
    <w:basedOn w:val="Huisstijl-Gegevenskop"/>
    <w:uiPriority w:val="99"/>
    <w:rsid w:val="00911C9F"/>
    <w:rPr>
      <w:sz w:val="18"/>
      <w:szCs w:val="18"/>
    </w:rPr>
  </w:style>
  <w:style w:type="paragraph" w:customStyle="1" w:styleId="Huisstijl-Ondertekening">
    <w:name w:val="Huisstijl - Ondertekening"/>
    <w:basedOn w:val="Standaard"/>
    <w:next w:val="Standaard"/>
    <w:uiPriority w:val="99"/>
    <w:rsid w:val="00911C9F"/>
    <w:pPr>
      <w:widowControl w:val="0"/>
      <w:suppressAutoHyphens/>
      <w:autoSpaceDN w:val="0"/>
      <w:spacing w:before="240" w:line="240" w:lineRule="exact"/>
      <w:textAlignment w:val="baseline"/>
    </w:pPr>
    <w:rPr>
      <w:kern w:val="3"/>
      <w:lang w:eastAsia="zh-CN"/>
    </w:rPr>
  </w:style>
  <w:style w:type="paragraph" w:customStyle="1" w:styleId="Huisstijl-Ondertekeningvervolg">
    <w:name w:val="Huisstijl - Ondertekening vervolg"/>
    <w:basedOn w:val="Huisstijl-Ondertekening"/>
    <w:uiPriority w:val="99"/>
    <w:rsid w:val="00911C9F"/>
    <w:pPr>
      <w:spacing w:before="0"/>
    </w:pPr>
  </w:style>
  <w:style w:type="paragraph" w:customStyle="1" w:styleId="Huisstijl-Ondertekeningvervolgtitel">
    <w:name w:val="Huisstijl - Ondertekening vervolg titel"/>
    <w:basedOn w:val="Huisstijl-Ondertekeningvervolg"/>
    <w:uiPriority w:val="99"/>
    <w:rsid w:val="00911C9F"/>
    <w:rPr>
      <w:i/>
      <w:iCs/>
      <w:noProof/>
    </w:rPr>
  </w:style>
  <w:style w:type="paragraph" w:customStyle="1" w:styleId="Huisstijl-Slotzin">
    <w:name w:val="Huisstijl - Slotzin"/>
    <w:basedOn w:val="Standaard"/>
    <w:next w:val="Huisstijl-Ondertekening"/>
    <w:uiPriority w:val="99"/>
    <w:rsid w:val="00911C9F"/>
    <w:pPr>
      <w:widowControl w:val="0"/>
      <w:suppressAutoHyphens/>
      <w:autoSpaceDN w:val="0"/>
      <w:spacing w:before="240" w:line="240" w:lineRule="exact"/>
      <w:textAlignment w:val="baseline"/>
    </w:pPr>
    <w:rPr>
      <w:kern w:val="3"/>
      <w:lang w:eastAsia="zh-C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kern w:val="3"/>
      <w:lang w:eastAsia="zh-CN"/>
    </w:rPr>
  </w:style>
  <w:style w:type="paragraph" w:styleId="Lijstalinea">
    <w:name w:val="List Paragraph"/>
    <w:basedOn w:val="Standaard"/>
    <w:uiPriority w:val="34"/>
    <w:qFormat/>
    <w:rsid w:val="00137B39"/>
    <w:pPr>
      <w:ind w:left="720"/>
      <w:contextualSpacing/>
    </w:pPr>
  </w:style>
  <w:style w:type="character" w:styleId="Verwijzingopmerking">
    <w:name w:val="annotation reference"/>
    <w:basedOn w:val="Standaardalinea-lettertype"/>
    <w:uiPriority w:val="99"/>
    <w:semiHidden/>
    <w:rsid w:val="00FB272C"/>
    <w:rPr>
      <w:sz w:val="16"/>
      <w:szCs w:val="16"/>
    </w:rPr>
  </w:style>
  <w:style w:type="paragraph" w:styleId="Tekstopmerking">
    <w:name w:val="annotation text"/>
    <w:basedOn w:val="Standaard"/>
    <w:link w:val="TekstopmerkingChar"/>
    <w:uiPriority w:val="99"/>
    <w:semiHidden/>
    <w:rsid w:val="00FB27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72C"/>
    <w:rPr>
      <w:rFonts w:ascii="Verdana" w:hAnsi="Verdana" w:cs="Verdana"/>
    </w:rPr>
  </w:style>
  <w:style w:type="paragraph" w:styleId="Onderwerpvanopmerking">
    <w:name w:val="annotation subject"/>
    <w:basedOn w:val="Tekstopmerking"/>
    <w:next w:val="Tekstopmerking"/>
    <w:link w:val="OnderwerpvanopmerkingChar"/>
    <w:uiPriority w:val="99"/>
    <w:semiHidden/>
    <w:rsid w:val="00FB272C"/>
    <w:rPr>
      <w:b/>
      <w:bCs/>
    </w:rPr>
  </w:style>
  <w:style w:type="character" w:customStyle="1" w:styleId="OnderwerpvanopmerkingChar">
    <w:name w:val="Onderwerp van opmerking Char"/>
    <w:basedOn w:val="TekstopmerkingChar"/>
    <w:link w:val="Onderwerpvanopmerking"/>
    <w:uiPriority w:val="99"/>
    <w:semiHidden/>
    <w:rsid w:val="00FB272C"/>
    <w:rPr>
      <w:rFonts w:ascii="Verdana" w:hAnsi="Verdana" w:cs="Verdana"/>
      <w:b/>
      <w:bCs/>
    </w:rPr>
  </w:style>
  <w:style w:type="character" w:styleId="Voetnootmarkering">
    <w:name w:val="footnote reference"/>
    <w:basedOn w:val="Standaardalinea-lettertype"/>
    <w:uiPriority w:val="99"/>
    <w:semiHidden/>
    <w:rsid w:val="007E79E4"/>
    <w:rPr>
      <w:vertAlign w:val="superscript"/>
    </w:rPr>
  </w:style>
  <w:style w:type="paragraph" w:customStyle="1" w:styleId="Huisstijl-NAW">
    <w:name w:val="Huisstijl-NAW"/>
    <w:basedOn w:val="Standaard"/>
    <w:uiPriority w:val="99"/>
    <w:rsid w:val="00ED7BAA"/>
    <w:pPr>
      <w:adjustRightInd w:val="0"/>
    </w:pPr>
    <w:rPr>
      <w:noProof/>
    </w:rPr>
  </w:style>
  <w:style w:type="paragraph" w:customStyle="1" w:styleId="Hoofdtekst">
    <w:name w:val="Hoofdtekst"/>
    <w:rsid w:val="000E0C57"/>
    <w:pPr>
      <w:pBdr>
        <w:top w:val="nil"/>
        <w:left w:val="nil"/>
        <w:bottom w:val="nil"/>
        <w:right w:val="nil"/>
        <w:between w:val="nil"/>
        <w:bar w:val="nil"/>
      </w:pBdr>
    </w:pPr>
    <w:rPr>
      <w:rFonts w:ascii="Helvetica" w:eastAsia="Arial Unicode MS" w:hAnsi="Arial Unicode MS" w:cs="Arial Unicode MS"/>
      <w:color w:val="000000"/>
      <w:bdr w:val="ni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642">
      <w:marLeft w:val="0"/>
      <w:marRight w:val="0"/>
      <w:marTop w:val="0"/>
      <w:marBottom w:val="0"/>
      <w:divBdr>
        <w:top w:val="none" w:sz="0" w:space="0" w:color="auto"/>
        <w:left w:val="none" w:sz="0" w:space="0" w:color="auto"/>
        <w:bottom w:val="none" w:sz="0" w:space="0" w:color="auto"/>
        <w:right w:val="none" w:sz="0" w:space="0" w:color="auto"/>
      </w:divBdr>
    </w:div>
    <w:div w:id="8493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beps.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LOFSEN\AppData\Local\Microsoft\Windows\Temporary%20Internet%20Files\Low\Content.IE5\CKZB22UD\DocGen_Brief_nl_N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88006824FE94489A836E9E389BD08" ma:contentTypeVersion="0" ma:contentTypeDescription="Een nieuw document maken." ma:contentTypeScope="" ma:versionID="875bcb0896e7bfd88abf7cdadb15618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7AFEA-59CE-45DF-A8B2-C1614DF2ABAE}">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A719AFF-43CA-4FDE-B85D-9142A6B78DCF}">
  <ds:schemaRefs>
    <ds:schemaRef ds:uri="http://schemas.microsoft.com/sharepoint/v3/contenttype/forms"/>
  </ds:schemaRefs>
</ds:datastoreItem>
</file>

<file path=customXml/itemProps3.xml><?xml version="1.0" encoding="utf-8"?>
<ds:datastoreItem xmlns:ds="http://schemas.openxmlformats.org/officeDocument/2006/customXml" ds:itemID="{B2C16C9B-7C6B-4B72-B410-A0508CEF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1FF1B5-33DF-46D5-9EF0-DCC5D113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DocGen_Brief_nl_NL[1]</Template>
  <TotalTime>0</TotalTime>
  <Pages>16</Pages>
  <Words>5375</Words>
  <Characters>29563</Characters>
  <Application>Microsoft Office Word</Application>
  <DocSecurity>4</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2015-06-03T17:39:00Z</dcterms:created>
  <dcterms:modified xsi:type="dcterms:W3CDTF">2015-06-03T17:39:00Z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Internationale belastingen en belastingontwijking</vt:lpwstr>
  </property>
  <property fmtid="{D5CDD505-2E9C-101B-9397-08002B2CF9AE}" pid="4" name="Datum">
    <vt:lpwstr>13 april 2015</vt:lpwstr>
  </property>
  <property fmtid="{D5CDD505-2E9C-101B-9397-08002B2CF9AE}" pid="5" name="Kenmerk">
    <vt:lpwstr>2015-314</vt:lpwstr>
  </property>
  <property fmtid="{D5CDD505-2E9C-101B-9397-08002B2CF9AE}" pid="6" name="UwKenmerk">
    <vt:lpwstr>2015Z05739</vt:lpwstr>
  </property>
  <property fmtid="{D5CDD505-2E9C-101B-9397-08002B2CF9AE}" pid="7" name="Aan">
    <vt:lpwstr>Voorzitter TK</vt:lpwstr>
  </property>
  <property fmtid="{D5CDD505-2E9C-101B-9397-08002B2CF9AE}" pid="8" name="Rubricering">
    <vt:lpwstr/>
  </property>
  <property fmtid="{D5CDD505-2E9C-101B-9397-08002B2CF9AE}" pid="9" name="ContentTypeId">
    <vt:lpwstr>0x01010021388006824FE94489A836E9E389BD08</vt:lpwstr>
  </property>
</Properties>
</file>