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9F" w:rsidRPr="00C72F56" w:rsidRDefault="008C4F9F" w:rsidP="008C4F9F">
      <w:pPr>
        <w:widowControl w:val="0"/>
        <w:autoSpaceDE w:val="0"/>
        <w:autoSpaceDN w:val="0"/>
        <w:adjustRightInd w:val="0"/>
        <w:rPr>
          <w:rFonts w:ascii="Arial" w:hAnsi="Arial" w:cs="Arial"/>
          <w:lang w:val="nl-NL"/>
        </w:rPr>
      </w:pPr>
      <w:r w:rsidRPr="00C72F56">
        <w:rPr>
          <w:rFonts w:ascii="Arial" w:hAnsi="Arial" w:cs="Arial"/>
          <w:b/>
          <w:bCs/>
          <w:sz w:val="20"/>
          <w:szCs w:val="20"/>
          <w:lang w:val="nl-NL"/>
        </w:rPr>
        <w:t>A. ARTIKELSGEWIJZE TOELICHTING BIJ HET WETSVOORSTEL</w:t>
      </w:r>
    </w:p>
    <w:p w:rsidR="008C4F9F" w:rsidRPr="00C72F56" w:rsidRDefault="008C4F9F" w:rsidP="008C4F9F">
      <w:pPr>
        <w:widowControl w:val="0"/>
        <w:autoSpaceDE w:val="0"/>
        <w:autoSpaceDN w:val="0"/>
        <w:adjustRightInd w:val="0"/>
        <w:rPr>
          <w:rFonts w:ascii="Arial" w:hAnsi="Arial" w:cs="Arial"/>
          <w:lang w:val="nl-NL"/>
        </w:rPr>
      </w:pPr>
      <w:r w:rsidRPr="00C72F56">
        <w:rPr>
          <w:rFonts w:ascii="Arial" w:hAnsi="Arial" w:cs="Arial"/>
          <w:lang w:val="nl-NL"/>
        </w:rPr>
        <w:t> </w:t>
      </w:r>
    </w:p>
    <w:p w:rsidR="008C4F9F" w:rsidRPr="00C72F56" w:rsidRDefault="008C4F9F" w:rsidP="008C4F9F">
      <w:pPr>
        <w:widowControl w:val="0"/>
        <w:autoSpaceDE w:val="0"/>
        <w:autoSpaceDN w:val="0"/>
        <w:adjustRightInd w:val="0"/>
        <w:rPr>
          <w:rFonts w:ascii="Arial" w:hAnsi="Arial" w:cs="Arial"/>
          <w:lang w:val="nl-NL"/>
        </w:rPr>
      </w:pPr>
      <w:r w:rsidRPr="00C72F56">
        <w:rPr>
          <w:rFonts w:ascii="Arial" w:hAnsi="Arial" w:cs="Arial"/>
          <w:b/>
          <w:bCs/>
          <w:sz w:val="20"/>
          <w:szCs w:val="20"/>
          <w:lang w:val="nl-NL"/>
        </w:rPr>
        <w:t xml:space="preserve">Wetsartikelen 1 tot en met </w:t>
      </w:r>
      <w:r>
        <w:rPr>
          <w:rFonts w:ascii="Arial" w:hAnsi="Arial" w:cs="Arial"/>
          <w:b/>
          <w:bCs/>
          <w:sz w:val="20"/>
          <w:szCs w:val="20"/>
          <w:lang w:val="nl-NL"/>
        </w:rPr>
        <w:t>4</w:t>
      </w:r>
    </w:p>
    <w:p w:rsidR="008C4F9F" w:rsidRPr="00C72F56" w:rsidRDefault="008C4F9F" w:rsidP="008C4F9F">
      <w:pPr>
        <w:widowControl w:val="0"/>
        <w:autoSpaceDE w:val="0"/>
        <w:autoSpaceDN w:val="0"/>
        <w:adjustRightInd w:val="0"/>
        <w:rPr>
          <w:rFonts w:ascii="Arial" w:hAnsi="Arial" w:cs="Arial"/>
          <w:lang w:val="nl-NL"/>
        </w:rPr>
      </w:pPr>
      <w:r w:rsidRPr="00C72F56">
        <w:rPr>
          <w:rFonts w:ascii="Arial" w:hAnsi="Arial" w:cs="Arial"/>
          <w:lang w:val="nl-NL"/>
        </w:rPr>
        <w:t> </w:t>
      </w:r>
    </w:p>
    <w:p w:rsidR="008C4F9F" w:rsidRPr="00362374" w:rsidRDefault="008C4F9F" w:rsidP="008C4F9F">
      <w:pPr>
        <w:widowControl w:val="0"/>
        <w:autoSpaceDE w:val="0"/>
        <w:autoSpaceDN w:val="0"/>
        <w:adjustRightInd w:val="0"/>
        <w:rPr>
          <w:rFonts w:cs="Arial"/>
          <w:szCs w:val="18"/>
          <w:lang w:val="nl-NL"/>
        </w:rPr>
      </w:pPr>
      <w:r w:rsidRPr="00362374">
        <w:rPr>
          <w:rFonts w:cs="Arial"/>
          <w:szCs w:val="18"/>
          <w:lang w:val="nl-NL"/>
        </w:rPr>
        <w:t xml:space="preserve">De begrotingsstaten die onderdeel zijn van de Rijksbegroting, worden op grond van artikel 1, derde lid, van de Comptabiliteitswet 2001 elk afzonderlijk bij de wet vastgesteld en derhalve ook gewijzigd. Het onderhavige wetsvoorstel strekt ertoe om voor het jaar 2014 wijzigingen aan te brengen in: </w:t>
      </w:r>
    </w:p>
    <w:p w:rsidR="008C4F9F" w:rsidRPr="00362374" w:rsidRDefault="008C4F9F" w:rsidP="008C4F9F">
      <w:pPr>
        <w:widowControl w:val="0"/>
        <w:autoSpaceDE w:val="0"/>
        <w:autoSpaceDN w:val="0"/>
        <w:adjustRightInd w:val="0"/>
        <w:rPr>
          <w:rFonts w:cs="Arial"/>
          <w:szCs w:val="18"/>
          <w:lang w:val="nl-NL"/>
        </w:rPr>
      </w:pPr>
      <w:r w:rsidRPr="00362374">
        <w:rPr>
          <w:rFonts w:cs="Arial"/>
          <w:szCs w:val="18"/>
          <w:lang w:val="nl-NL"/>
        </w:rPr>
        <w:t> </w:t>
      </w:r>
    </w:p>
    <w:p w:rsidR="008C4F9F" w:rsidRPr="00362374" w:rsidRDefault="008C4F9F" w:rsidP="008C4F9F">
      <w:pPr>
        <w:pStyle w:val="Lijstalinea"/>
        <w:widowControl w:val="0"/>
        <w:numPr>
          <w:ilvl w:val="0"/>
          <w:numId w:val="2"/>
        </w:numPr>
        <w:autoSpaceDE w:val="0"/>
        <w:autoSpaceDN w:val="0"/>
        <w:adjustRightInd w:val="0"/>
        <w:rPr>
          <w:rFonts w:ascii="Verdana" w:hAnsi="Verdana" w:cs="Arial"/>
          <w:sz w:val="18"/>
          <w:szCs w:val="18"/>
        </w:rPr>
      </w:pPr>
      <w:r w:rsidRPr="00362374">
        <w:rPr>
          <w:rFonts w:ascii="Verdana" w:hAnsi="Verdana" w:cs="Arial"/>
          <w:sz w:val="18"/>
          <w:szCs w:val="18"/>
        </w:rPr>
        <w:t xml:space="preserve">de departementale begrotingsstaat van het Ministerie van Buitenlandse Zaken (V); </w:t>
      </w:r>
    </w:p>
    <w:p w:rsidR="008C4F9F" w:rsidRPr="00362374" w:rsidRDefault="008C4F9F" w:rsidP="008C4F9F">
      <w:pPr>
        <w:pStyle w:val="Lijstalinea"/>
        <w:widowControl w:val="0"/>
        <w:numPr>
          <w:ilvl w:val="0"/>
          <w:numId w:val="2"/>
        </w:numPr>
        <w:autoSpaceDE w:val="0"/>
        <w:autoSpaceDN w:val="0"/>
        <w:adjustRightInd w:val="0"/>
        <w:rPr>
          <w:rFonts w:ascii="Verdana" w:hAnsi="Verdana" w:cs="Arial"/>
          <w:sz w:val="18"/>
          <w:szCs w:val="18"/>
        </w:rPr>
      </w:pPr>
      <w:r w:rsidRPr="00362374">
        <w:rPr>
          <w:rFonts w:ascii="Verdana" w:hAnsi="Verdana" w:cs="ArialMT"/>
          <w:sz w:val="18"/>
          <w:szCs w:val="18"/>
        </w:rPr>
        <w:t xml:space="preserve">de begrotingsstaat inzake het agentschap </w:t>
      </w:r>
      <w:r>
        <w:rPr>
          <w:rFonts w:ascii="Verdana" w:hAnsi="Verdana" w:cs="ArialMT"/>
          <w:sz w:val="18"/>
          <w:szCs w:val="18"/>
        </w:rPr>
        <w:t xml:space="preserve">(CBI) </w:t>
      </w:r>
      <w:r w:rsidRPr="00362374">
        <w:rPr>
          <w:rFonts w:ascii="Verdana" w:hAnsi="Verdana" w:cs="ArialMT"/>
          <w:sz w:val="18"/>
          <w:szCs w:val="18"/>
        </w:rPr>
        <w:t xml:space="preserve">van </w:t>
      </w:r>
      <w:r>
        <w:rPr>
          <w:rFonts w:ascii="Verdana" w:hAnsi="Verdana" w:cs="ArialMT"/>
          <w:sz w:val="18"/>
          <w:szCs w:val="18"/>
        </w:rPr>
        <w:t>het Ministerie van Buitenlandse Zaken.</w:t>
      </w:r>
    </w:p>
    <w:p w:rsidR="008C4F9F" w:rsidRPr="00362374" w:rsidRDefault="008C4F9F" w:rsidP="008C4F9F">
      <w:pPr>
        <w:widowControl w:val="0"/>
        <w:autoSpaceDE w:val="0"/>
        <w:autoSpaceDN w:val="0"/>
        <w:adjustRightInd w:val="0"/>
        <w:rPr>
          <w:rFonts w:cs="Arial"/>
          <w:szCs w:val="18"/>
          <w:lang w:val="nl-NL"/>
        </w:rPr>
      </w:pPr>
      <w:r w:rsidRPr="00362374">
        <w:rPr>
          <w:rFonts w:cs="Arial"/>
          <w:szCs w:val="18"/>
          <w:lang w:val="nl-NL"/>
        </w:rPr>
        <w:t> </w:t>
      </w:r>
    </w:p>
    <w:p w:rsidR="008C4F9F" w:rsidRPr="00362374" w:rsidRDefault="008C4F9F" w:rsidP="008C4F9F">
      <w:pPr>
        <w:widowControl w:val="0"/>
        <w:autoSpaceDE w:val="0"/>
        <w:autoSpaceDN w:val="0"/>
        <w:adjustRightInd w:val="0"/>
        <w:rPr>
          <w:rFonts w:cs="Arial"/>
          <w:szCs w:val="18"/>
          <w:lang w:val="nl-NL"/>
        </w:rPr>
      </w:pPr>
      <w:r w:rsidRPr="00362374">
        <w:rPr>
          <w:rFonts w:cs="Arial"/>
          <w:szCs w:val="18"/>
          <w:lang w:val="nl-NL"/>
        </w:rPr>
        <w:t xml:space="preserve">De in de begrotingsstaten opgenomen begrotingsartikelen worden in onderdeel B van deze memorie van toelichting toegelicht (de zgn. begrotingstoelichting). </w:t>
      </w:r>
    </w:p>
    <w:p w:rsidR="008C4F9F" w:rsidRPr="00362374" w:rsidRDefault="008C4F9F" w:rsidP="008C4F9F">
      <w:pPr>
        <w:widowControl w:val="0"/>
        <w:autoSpaceDE w:val="0"/>
        <w:autoSpaceDN w:val="0"/>
        <w:adjustRightInd w:val="0"/>
        <w:rPr>
          <w:rFonts w:cs="Arial"/>
          <w:szCs w:val="18"/>
          <w:lang w:val="nl-NL"/>
        </w:rPr>
      </w:pPr>
    </w:p>
    <w:p w:rsidR="008C4F9F" w:rsidRPr="00362374" w:rsidRDefault="008C4F9F" w:rsidP="008C4F9F">
      <w:pPr>
        <w:widowControl w:val="0"/>
        <w:autoSpaceDE w:val="0"/>
        <w:autoSpaceDN w:val="0"/>
        <w:adjustRightInd w:val="0"/>
        <w:rPr>
          <w:rFonts w:cs="Arial"/>
          <w:szCs w:val="18"/>
          <w:lang w:val="nl-NL"/>
        </w:rPr>
      </w:pPr>
      <w:r w:rsidRPr="00362374">
        <w:rPr>
          <w:rFonts w:cs="Arial"/>
          <w:szCs w:val="18"/>
          <w:lang w:val="nl-NL"/>
        </w:rPr>
        <w:t>De minister van Buitenlandse Zaken</w:t>
      </w:r>
    </w:p>
    <w:p w:rsidR="008C4F9F" w:rsidRPr="00C72F56" w:rsidRDefault="008C4F9F" w:rsidP="008C4F9F">
      <w:pPr>
        <w:widowControl w:val="0"/>
        <w:autoSpaceDE w:val="0"/>
        <w:autoSpaceDN w:val="0"/>
        <w:adjustRightInd w:val="0"/>
        <w:rPr>
          <w:rFonts w:ascii="Arial" w:hAnsi="Arial" w:cs="Arial"/>
          <w:sz w:val="20"/>
          <w:szCs w:val="20"/>
          <w:lang w:val="nl-NL"/>
        </w:rPr>
      </w:pPr>
    </w:p>
    <w:p w:rsidR="008C4F9F" w:rsidRPr="00C72F56" w:rsidRDefault="008C4F9F" w:rsidP="008C4F9F">
      <w:pPr>
        <w:widowControl w:val="0"/>
        <w:autoSpaceDE w:val="0"/>
        <w:autoSpaceDN w:val="0"/>
        <w:adjustRightInd w:val="0"/>
        <w:rPr>
          <w:rFonts w:ascii="Arial" w:hAnsi="Arial" w:cs="Arial"/>
          <w:sz w:val="20"/>
          <w:szCs w:val="20"/>
          <w:lang w:val="nl-NL"/>
        </w:rPr>
      </w:pPr>
    </w:p>
    <w:p w:rsidR="008C4F9F" w:rsidRPr="00C72F56" w:rsidRDefault="008C4F9F" w:rsidP="008C4F9F">
      <w:pPr>
        <w:widowControl w:val="0"/>
        <w:autoSpaceDE w:val="0"/>
        <w:autoSpaceDN w:val="0"/>
        <w:adjustRightInd w:val="0"/>
        <w:rPr>
          <w:rFonts w:ascii="Arial" w:hAnsi="Arial" w:cs="Arial"/>
          <w:sz w:val="20"/>
          <w:szCs w:val="20"/>
          <w:lang w:val="nl-NL"/>
        </w:rPr>
      </w:pPr>
    </w:p>
    <w:p w:rsidR="008C4F9F" w:rsidRPr="00C72F56" w:rsidRDefault="008C4F9F" w:rsidP="008C4F9F">
      <w:pPr>
        <w:widowControl w:val="0"/>
        <w:autoSpaceDE w:val="0"/>
        <w:autoSpaceDN w:val="0"/>
        <w:adjustRightInd w:val="0"/>
        <w:rPr>
          <w:rFonts w:ascii="Arial" w:hAnsi="Arial" w:cs="Arial"/>
          <w:sz w:val="20"/>
          <w:szCs w:val="20"/>
          <w:lang w:val="nl-NL"/>
        </w:rPr>
      </w:pPr>
    </w:p>
    <w:p w:rsidR="008C4F9F" w:rsidRPr="00C72F56" w:rsidRDefault="008C4F9F" w:rsidP="008C4F9F">
      <w:pPr>
        <w:widowControl w:val="0"/>
        <w:autoSpaceDE w:val="0"/>
        <w:autoSpaceDN w:val="0"/>
        <w:adjustRightInd w:val="0"/>
        <w:rPr>
          <w:rFonts w:ascii="Arial" w:hAnsi="Arial" w:cs="Arial"/>
          <w:sz w:val="20"/>
          <w:szCs w:val="20"/>
          <w:lang w:val="nl-NL"/>
        </w:rPr>
      </w:pPr>
    </w:p>
    <w:p w:rsidR="008C4F9F" w:rsidRPr="00C72F56" w:rsidRDefault="008C4F9F" w:rsidP="008C4F9F">
      <w:pPr>
        <w:widowControl w:val="0"/>
        <w:autoSpaceDE w:val="0"/>
        <w:autoSpaceDN w:val="0"/>
        <w:adjustRightInd w:val="0"/>
        <w:rPr>
          <w:rFonts w:ascii="Arial" w:hAnsi="Arial" w:cs="Arial"/>
          <w:sz w:val="20"/>
          <w:szCs w:val="20"/>
          <w:lang w:val="nl-NL"/>
        </w:rPr>
      </w:pPr>
    </w:p>
    <w:p w:rsidR="008C4F9F" w:rsidRDefault="008C4F9F" w:rsidP="008C4F9F">
      <w:pPr>
        <w:rPr>
          <w:lang w:val="nl-NL"/>
        </w:rPr>
      </w:pPr>
      <w:r>
        <w:rPr>
          <w:lang w:val="nl-NL"/>
        </w:rPr>
        <w:br w:type="page"/>
      </w:r>
    </w:p>
    <w:p w:rsidR="008C4F9F" w:rsidRPr="00C72F56" w:rsidRDefault="008C4F9F" w:rsidP="008C4F9F">
      <w:pPr>
        <w:rPr>
          <w:lang w:val="nl-NL"/>
        </w:rPr>
      </w:pPr>
    </w:p>
    <w:p w:rsidR="008C4F9F" w:rsidRPr="00C72F56" w:rsidRDefault="008C4F9F" w:rsidP="008C4F9F">
      <w:pPr>
        <w:pStyle w:val="Kop2"/>
        <w:tabs>
          <w:tab w:val="left" w:pos="5293"/>
        </w:tabs>
        <w:rPr>
          <w:rFonts w:ascii="Verdana" w:hAnsi="Verdana"/>
          <w:sz w:val="18"/>
          <w:szCs w:val="18"/>
        </w:rPr>
      </w:pPr>
      <w:r w:rsidRPr="00C72F56">
        <w:rPr>
          <w:rFonts w:ascii="Verdana" w:hAnsi="Verdana" w:cs="Times New Roman"/>
          <w:i w:val="0"/>
          <w:sz w:val="18"/>
          <w:szCs w:val="18"/>
        </w:rPr>
        <w:t>B</w:t>
      </w:r>
      <w:r>
        <w:rPr>
          <w:rFonts w:ascii="Verdana" w:hAnsi="Verdana" w:cs="Times New Roman"/>
          <w:i w:val="0"/>
          <w:sz w:val="18"/>
          <w:szCs w:val="18"/>
        </w:rPr>
        <w:t>.</w:t>
      </w:r>
      <w:r w:rsidRPr="00C72F56">
        <w:rPr>
          <w:rFonts w:ascii="Verdana" w:hAnsi="Verdana" w:cs="Times New Roman"/>
          <w:i w:val="0"/>
          <w:sz w:val="18"/>
          <w:szCs w:val="18"/>
        </w:rPr>
        <w:t xml:space="preserve"> BEGROTINGSTOELICHTING</w:t>
      </w:r>
    </w:p>
    <w:p w:rsidR="008C4F9F" w:rsidRPr="00C72F56" w:rsidRDefault="008C4F9F" w:rsidP="008C4F9F">
      <w:pPr>
        <w:widowControl w:val="0"/>
        <w:autoSpaceDE w:val="0"/>
        <w:autoSpaceDN w:val="0"/>
        <w:adjustRightInd w:val="0"/>
        <w:rPr>
          <w:rFonts w:ascii="Arial" w:hAnsi="Arial" w:cs="Arial"/>
          <w:lang w:val="nl-NL"/>
        </w:rPr>
      </w:pPr>
    </w:p>
    <w:p w:rsidR="008C4F9F" w:rsidRPr="00C72F56" w:rsidRDefault="008C4F9F" w:rsidP="008C4F9F">
      <w:pPr>
        <w:pStyle w:val="Lijstalinea"/>
        <w:widowControl w:val="0"/>
        <w:numPr>
          <w:ilvl w:val="0"/>
          <w:numId w:val="1"/>
        </w:numPr>
        <w:autoSpaceDE w:val="0"/>
        <w:autoSpaceDN w:val="0"/>
        <w:adjustRightInd w:val="0"/>
        <w:spacing w:line="276" w:lineRule="auto"/>
        <w:rPr>
          <w:rFonts w:ascii="Verdana" w:hAnsi="Verdana"/>
          <w:b/>
          <w:sz w:val="18"/>
          <w:szCs w:val="18"/>
        </w:rPr>
      </w:pPr>
      <w:r w:rsidRPr="00C72F56">
        <w:rPr>
          <w:rFonts w:ascii="Verdana" w:hAnsi="Verdana"/>
          <w:b/>
          <w:sz w:val="18"/>
          <w:szCs w:val="18"/>
        </w:rPr>
        <w:t>Voorstel van Wet</w:t>
      </w:r>
    </w:p>
    <w:p w:rsidR="008C4F9F" w:rsidRPr="00C72F56" w:rsidRDefault="008C4F9F" w:rsidP="008C4F9F">
      <w:pPr>
        <w:widowControl w:val="0"/>
        <w:autoSpaceDE w:val="0"/>
        <w:autoSpaceDN w:val="0"/>
        <w:adjustRightInd w:val="0"/>
        <w:spacing w:after="0" w:line="276" w:lineRule="auto"/>
        <w:rPr>
          <w:b/>
          <w:iCs/>
          <w:szCs w:val="18"/>
          <w:lang w:val="nl-NL"/>
        </w:rPr>
      </w:pPr>
      <w:r w:rsidRPr="00C72F56">
        <w:rPr>
          <w:szCs w:val="18"/>
          <w:lang w:val="nl-NL"/>
        </w:rPr>
        <w:t>Door middel van het onderhavige wetsvoorstel wordt voorgesteld de uitgaven op de begrotingsstaat 201</w:t>
      </w:r>
      <w:r>
        <w:rPr>
          <w:szCs w:val="18"/>
          <w:lang w:val="nl-NL"/>
        </w:rPr>
        <w:t>4</w:t>
      </w:r>
      <w:r w:rsidRPr="00C72F56">
        <w:rPr>
          <w:szCs w:val="18"/>
          <w:lang w:val="nl-NL"/>
        </w:rPr>
        <w:t xml:space="preserve"> van Buitenlandse Zaken (V) met EUR </w:t>
      </w:r>
      <w:r>
        <w:rPr>
          <w:szCs w:val="18"/>
          <w:lang w:val="nl-NL"/>
        </w:rPr>
        <w:t>51,2</w:t>
      </w:r>
      <w:r w:rsidRPr="00C72F56">
        <w:rPr>
          <w:szCs w:val="18"/>
          <w:lang w:val="nl-NL"/>
        </w:rPr>
        <w:t xml:space="preserve"> miljoen te ver</w:t>
      </w:r>
      <w:r>
        <w:rPr>
          <w:szCs w:val="18"/>
          <w:lang w:val="nl-NL"/>
        </w:rPr>
        <w:t>hogen</w:t>
      </w:r>
      <w:r w:rsidRPr="00C72F56">
        <w:rPr>
          <w:szCs w:val="18"/>
          <w:lang w:val="nl-NL"/>
        </w:rPr>
        <w:t xml:space="preserve"> en de ontvangsten te verhogen met EUR </w:t>
      </w:r>
      <w:r>
        <w:rPr>
          <w:szCs w:val="18"/>
          <w:lang w:val="nl-NL"/>
        </w:rPr>
        <w:t>29,7</w:t>
      </w:r>
      <w:r w:rsidRPr="00C72F56">
        <w:rPr>
          <w:szCs w:val="18"/>
          <w:lang w:val="nl-NL"/>
        </w:rPr>
        <w:t xml:space="preserve"> miljoen. </w:t>
      </w:r>
    </w:p>
    <w:p w:rsidR="008C4F9F" w:rsidRPr="00C72F56" w:rsidRDefault="008C4F9F" w:rsidP="008C4F9F">
      <w:pPr>
        <w:widowControl w:val="0"/>
        <w:autoSpaceDE w:val="0"/>
        <w:autoSpaceDN w:val="0"/>
        <w:adjustRightInd w:val="0"/>
        <w:spacing w:after="0" w:line="276" w:lineRule="auto"/>
        <w:rPr>
          <w:b/>
          <w:iCs/>
          <w:szCs w:val="18"/>
          <w:lang w:val="nl-NL"/>
        </w:rPr>
      </w:pPr>
    </w:p>
    <w:p w:rsidR="008C4F9F" w:rsidRPr="00C72F56" w:rsidRDefault="008C4F9F" w:rsidP="008C4F9F">
      <w:pPr>
        <w:pStyle w:val="Lijstalinea"/>
        <w:widowControl w:val="0"/>
        <w:numPr>
          <w:ilvl w:val="0"/>
          <w:numId w:val="1"/>
        </w:numPr>
        <w:autoSpaceDE w:val="0"/>
        <w:autoSpaceDN w:val="0"/>
        <w:adjustRightInd w:val="0"/>
        <w:spacing w:line="276" w:lineRule="auto"/>
        <w:rPr>
          <w:rFonts w:ascii="Verdana" w:hAnsi="Verdana"/>
          <w:b/>
          <w:iCs/>
          <w:sz w:val="18"/>
          <w:szCs w:val="18"/>
        </w:rPr>
      </w:pPr>
      <w:r w:rsidRPr="00C72F56">
        <w:rPr>
          <w:rFonts w:ascii="Verdana" w:hAnsi="Verdana"/>
          <w:b/>
          <w:iCs/>
          <w:sz w:val="18"/>
          <w:szCs w:val="18"/>
        </w:rPr>
        <w:t>Leeswijzer</w:t>
      </w:r>
    </w:p>
    <w:p w:rsidR="008C4F9F" w:rsidRPr="00C72F56" w:rsidRDefault="008C4F9F" w:rsidP="008C4F9F">
      <w:pPr>
        <w:widowControl w:val="0"/>
        <w:autoSpaceDE w:val="0"/>
        <w:autoSpaceDN w:val="0"/>
        <w:adjustRightInd w:val="0"/>
        <w:spacing w:after="0" w:line="276" w:lineRule="auto"/>
        <w:rPr>
          <w:iCs/>
          <w:szCs w:val="18"/>
          <w:lang w:val="nl-NL"/>
        </w:rPr>
      </w:pPr>
    </w:p>
    <w:p w:rsidR="008C4F9F" w:rsidRPr="00C72F56" w:rsidRDefault="008C4F9F" w:rsidP="008C4F9F">
      <w:pPr>
        <w:widowControl w:val="0"/>
        <w:autoSpaceDE w:val="0"/>
        <w:autoSpaceDN w:val="0"/>
        <w:adjustRightInd w:val="0"/>
        <w:spacing w:after="0" w:line="276" w:lineRule="auto"/>
        <w:rPr>
          <w:iCs/>
          <w:szCs w:val="18"/>
          <w:lang w:val="nl-NL"/>
        </w:rPr>
      </w:pPr>
      <w:r w:rsidRPr="00C72F56">
        <w:rPr>
          <w:iCs/>
          <w:szCs w:val="18"/>
          <w:lang w:val="nl-NL"/>
        </w:rPr>
        <w:t xml:space="preserve">De voorliggende </w:t>
      </w:r>
      <w:proofErr w:type="spellStart"/>
      <w:r w:rsidRPr="00C72F56">
        <w:rPr>
          <w:iCs/>
          <w:szCs w:val="18"/>
          <w:lang w:val="nl-NL"/>
        </w:rPr>
        <w:t>Slotwet</w:t>
      </w:r>
      <w:proofErr w:type="spellEnd"/>
      <w:r w:rsidRPr="00C72F56">
        <w:rPr>
          <w:iCs/>
          <w:szCs w:val="18"/>
          <w:lang w:val="nl-NL"/>
        </w:rPr>
        <w:t xml:space="preserve"> bevat de voorgestelde wijzigingen ten opzichte van de </w:t>
      </w:r>
      <w:r>
        <w:rPr>
          <w:iCs/>
          <w:szCs w:val="18"/>
          <w:lang w:val="nl-NL"/>
        </w:rPr>
        <w:t>Tweede</w:t>
      </w:r>
      <w:r w:rsidRPr="00C72F56">
        <w:rPr>
          <w:iCs/>
          <w:szCs w:val="18"/>
          <w:lang w:val="nl-NL"/>
        </w:rPr>
        <w:t xml:space="preserve"> Suppletoire Begroting 201</w:t>
      </w:r>
      <w:r>
        <w:rPr>
          <w:iCs/>
          <w:szCs w:val="18"/>
          <w:lang w:val="nl-NL"/>
        </w:rPr>
        <w:t>4</w:t>
      </w:r>
      <w:r w:rsidRPr="00C72F56">
        <w:rPr>
          <w:iCs/>
          <w:szCs w:val="18"/>
          <w:lang w:val="nl-NL"/>
        </w:rPr>
        <w:t xml:space="preserve"> van Buitenlandse Zaken</w:t>
      </w:r>
      <w:r>
        <w:rPr>
          <w:iCs/>
          <w:szCs w:val="18"/>
          <w:lang w:val="nl-NL"/>
        </w:rPr>
        <w:t>.</w:t>
      </w:r>
      <w:r w:rsidRPr="00C72F56">
        <w:rPr>
          <w:iCs/>
          <w:szCs w:val="18"/>
          <w:lang w:val="nl-NL"/>
        </w:rPr>
        <w:t xml:space="preserve"> </w:t>
      </w:r>
    </w:p>
    <w:p w:rsidR="008C4F9F" w:rsidRPr="00C72F56" w:rsidRDefault="008C4F9F" w:rsidP="008C4F9F">
      <w:pPr>
        <w:widowControl w:val="0"/>
        <w:autoSpaceDE w:val="0"/>
        <w:autoSpaceDN w:val="0"/>
        <w:adjustRightInd w:val="0"/>
        <w:spacing w:after="0" w:line="276" w:lineRule="auto"/>
        <w:rPr>
          <w:iCs/>
          <w:szCs w:val="18"/>
          <w:lang w:val="nl-NL"/>
        </w:rPr>
      </w:pPr>
    </w:p>
    <w:p w:rsidR="008C4F9F" w:rsidRPr="00C72F56" w:rsidRDefault="008C4F9F" w:rsidP="008C4F9F">
      <w:pPr>
        <w:widowControl w:val="0"/>
        <w:autoSpaceDE w:val="0"/>
        <w:autoSpaceDN w:val="0"/>
        <w:adjustRightInd w:val="0"/>
        <w:spacing w:after="0" w:line="276" w:lineRule="auto"/>
        <w:rPr>
          <w:rFonts w:cs="Arial"/>
          <w:szCs w:val="18"/>
          <w:lang w:val="nl-NL"/>
        </w:rPr>
      </w:pPr>
      <w:r w:rsidRPr="00C72F56">
        <w:rPr>
          <w:rFonts w:cs="Arial"/>
          <w:szCs w:val="18"/>
          <w:lang w:val="nl-NL"/>
        </w:rPr>
        <w:t>Conform de Rijksbegrotingsvoorschriften en de Comptabiliteitswet van 2001 dienen de opmerkelijke verschillen tussen de vorige (tweede Suppletoire Begroting) en huidige raming te worden toegelicht. Op uitgavenniveau is voor deze toelichting een norm gehanteerd waarbij voor de beleidsartikelen (1-</w:t>
      </w:r>
      <w:r>
        <w:rPr>
          <w:rFonts w:cs="Arial"/>
          <w:szCs w:val="18"/>
          <w:lang w:val="nl-NL"/>
        </w:rPr>
        <w:t>4)</w:t>
      </w:r>
      <w:r w:rsidRPr="00C72F56">
        <w:rPr>
          <w:rFonts w:cs="Arial"/>
          <w:szCs w:val="18"/>
          <w:lang w:val="nl-NL"/>
        </w:rPr>
        <w:t xml:space="preserve"> en het niet-beleidsartikel </w:t>
      </w:r>
      <w:r>
        <w:rPr>
          <w:rFonts w:cs="Arial"/>
          <w:szCs w:val="18"/>
          <w:lang w:val="nl-NL"/>
        </w:rPr>
        <w:t>6</w:t>
      </w:r>
      <w:r w:rsidRPr="00C72F56">
        <w:rPr>
          <w:rFonts w:cs="Arial"/>
          <w:szCs w:val="18"/>
          <w:lang w:val="nl-NL"/>
        </w:rPr>
        <w:t xml:space="preserve"> afwijkingen van 10% of meer, met een minimum van EUR 2 miljoen, ten opzichte van de stand van de Tweede Suppletoire Begroting 201</w:t>
      </w:r>
      <w:r>
        <w:rPr>
          <w:rFonts w:cs="Arial"/>
          <w:szCs w:val="18"/>
          <w:lang w:val="nl-NL"/>
        </w:rPr>
        <w:t>4</w:t>
      </w:r>
      <w:r w:rsidRPr="00C72F56">
        <w:rPr>
          <w:rFonts w:cs="Arial"/>
          <w:szCs w:val="18"/>
          <w:lang w:val="nl-NL"/>
        </w:rPr>
        <w:t xml:space="preserve"> op sub-artikel niveau zijn opgenomen. </w:t>
      </w:r>
      <w:r>
        <w:rPr>
          <w:rFonts w:cs="Arial"/>
          <w:szCs w:val="18"/>
          <w:lang w:val="nl-NL"/>
        </w:rPr>
        <w:t xml:space="preserve">Gezien het financieel belang wordt hiervoor een uitzondering gemaakt voor artikel 3, EU-afdrachten. </w:t>
      </w:r>
      <w:r w:rsidRPr="00C72F56">
        <w:rPr>
          <w:rFonts w:cs="Arial"/>
          <w:szCs w:val="18"/>
          <w:lang w:val="nl-NL"/>
        </w:rPr>
        <w:t xml:space="preserve">Voor niet-beleidsartikel </w:t>
      </w:r>
      <w:r>
        <w:rPr>
          <w:rFonts w:cs="Arial"/>
          <w:szCs w:val="18"/>
          <w:lang w:val="nl-NL"/>
        </w:rPr>
        <w:t>7</w:t>
      </w:r>
      <w:r w:rsidRPr="00C72F56">
        <w:rPr>
          <w:rFonts w:cs="Arial"/>
          <w:szCs w:val="18"/>
          <w:lang w:val="nl-NL"/>
        </w:rPr>
        <w:t xml:space="preserve"> is een afwijking van 1% opgenomen. Voor verplichtingen wordt de norm van 10% op artikel niveau aangehouden.</w:t>
      </w:r>
    </w:p>
    <w:p w:rsidR="008C4F9F" w:rsidRPr="00C72F56" w:rsidRDefault="008C4F9F" w:rsidP="008C4F9F">
      <w:pPr>
        <w:rPr>
          <w:rFonts w:cs="Arial"/>
          <w:szCs w:val="18"/>
          <w:lang w:val="nl-NL"/>
        </w:rPr>
      </w:pPr>
      <w:r w:rsidRPr="00C72F56">
        <w:rPr>
          <w:rFonts w:cs="Arial"/>
          <w:szCs w:val="18"/>
          <w:lang w:val="nl-NL"/>
        </w:rPr>
        <w:br w:type="page"/>
      </w:r>
    </w:p>
    <w:p w:rsidR="008C4F9F" w:rsidRPr="00743DAA" w:rsidRDefault="008C4F9F" w:rsidP="008C4F9F">
      <w:pPr>
        <w:pStyle w:val="Plattetekst2"/>
        <w:tabs>
          <w:tab w:val="left" w:pos="709"/>
        </w:tabs>
        <w:spacing w:line="276" w:lineRule="auto"/>
        <w:outlineLvl w:val="0"/>
        <w:rPr>
          <w:rFonts w:ascii="Verdana" w:hAnsi="Verdana"/>
          <w:b/>
          <w:sz w:val="18"/>
          <w:szCs w:val="18"/>
        </w:rPr>
      </w:pPr>
      <w:r w:rsidRPr="00743DAA">
        <w:rPr>
          <w:rFonts w:ascii="Verdana" w:hAnsi="Verdana"/>
          <w:b/>
          <w:sz w:val="18"/>
          <w:szCs w:val="18"/>
        </w:rPr>
        <w:lastRenderedPageBreak/>
        <w:t>Toelichting per beleidsartikel</w:t>
      </w:r>
    </w:p>
    <w:p w:rsidR="008C4F9F" w:rsidRPr="00743DAA" w:rsidRDefault="008C4F9F" w:rsidP="008C4F9F">
      <w:pPr>
        <w:pStyle w:val="Plattetekst2"/>
        <w:tabs>
          <w:tab w:val="left" w:pos="709"/>
        </w:tabs>
        <w:spacing w:line="276" w:lineRule="auto"/>
        <w:ind w:left="360"/>
        <w:outlineLvl w:val="0"/>
        <w:rPr>
          <w:rFonts w:ascii="Verdana" w:hAnsi="Verdana"/>
          <w:b/>
          <w:sz w:val="18"/>
          <w:szCs w:val="18"/>
        </w:rPr>
      </w:pPr>
    </w:p>
    <w:p w:rsidR="008C4F9F" w:rsidRPr="00743DAA" w:rsidRDefault="008C4F9F" w:rsidP="008C4F9F">
      <w:pPr>
        <w:spacing w:line="276" w:lineRule="auto"/>
        <w:rPr>
          <w:b/>
          <w:szCs w:val="18"/>
          <w:lang w:val="nl-NL"/>
        </w:rPr>
      </w:pPr>
      <w:r w:rsidRPr="00743DAA">
        <w:rPr>
          <w:b/>
          <w:szCs w:val="18"/>
          <w:lang w:val="nl-NL"/>
        </w:rPr>
        <w:t xml:space="preserve">Beleidsartikel 2 </w:t>
      </w:r>
    </w:p>
    <w:p w:rsidR="008C4F9F" w:rsidRPr="00DB2BA3" w:rsidRDefault="008C4F9F" w:rsidP="008C4F9F">
      <w:pPr>
        <w:spacing w:after="0" w:line="276" w:lineRule="auto"/>
        <w:rPr>
          <w:i/>
          <w:szCs w:val="18"/>
          <w:lang w:val="nl-NL"/>
        </w:rPr>
      </w:pPr>
      <w:r w:rsidRPr="00DB2BA3">
        <w:rPr>
          <w:i/>
          <w:szCs w:val="18"/>
          <w:lang w:val="nl-NL"/>
        </w:rPr>
        <w:t>Verplichting:</w:t>
      </w:r>
    </w:p>
    <w:p w:rsidR="008C4F9F" w:rsidRDefault="008C4F9F" w:rsidP="008C4F9F">
      <w:pPr>
        <w:spacing w:after="0" w:line="276" w:lineRule="auto"/>
        <w:rPr>
          <w:szCs w:val="18"/>
          <w:lang w:val="nl-NL"/>
        </w:rPr>
      </w:pPr>
      <w:r>
        <w:rPr>
          <w:szCs w:val="18"/>
          <w:lang w:val="nl-NL"/>
        </w:rPr>
        <w:t>Zoals in december 2014 aan uw Kamer is gemeld, is er o</w:t>
      </w:r>
      <w:r w:rsidRPr="00DB2BA3">
        <w:rPr>
          <w:szCs w:val="18"/>
          <w:lang w:val="nl-NL"/>
        </w:rPr>
        <w:t xml:space="preserve">p het artikel </w:t>
      </w:r>
      <w:r>
        <w:rPr>
          <w:szCs w:val="18"/>
          <w:lang w:val="nl-NL"/>
        </w:rPr>
        <w:t>‘</w:t>
      </w:r>
      <w:r w:rsidRPr="00DB2BA3">
        <w:rPr>
          <w:szCs w:val="18"/>
          <w:lang w:val="nl-NL"/>
        </w:rPr>
        <w:t>Bevordering van veiligheid, stabiliteit en rechtsorde in internationaal verband</w:t>
      </w:r>
      <w:r>
        <w:rPr>
          <w:szCs w:val="18"/>
          <w:lang w:val="nl-NL"/>
        </w:rPr>
        <w:t>’</w:t>
      </w:r>
      <w:r w:rsidRPr="00DB2BA3">
        <w:rPr>
          <w:szCs w:val="18"/>
          <w:lang w:val="nl-NL"/>
        </w:rPr>
        <w:t xml:space="preserve"> (2.4) een overschrijding van het verplichtingenbudget vanwege het aangaan van een meerjarige verplichting van ten behoeve van het LOTFA-programma (</w:t>
      </w:r>
      <w:proofErr w:type="spellStart"/>
      <w:r w:rsidRPr="00DB2BA3">
        <w:rPr>
          <w:i/>
          <w:szCs w:val="18"/>
          <w:lang w:val="nl-NL"/>
        </w:rPr>
        <w:t>Law</w:t>
      </w:r>
      <w:proofErr w:type="spellEnd"/>
      <w:r w:rsidRPr="00DB2BA3">
        <w:rPr>
          <w:i/>
          <w:szCs w:val="18"/>
          <w:lang w:val="nl-NL"/>
        </w:rPr>
        <w:t xml:space="preserve"> </w:t>
      </w:r>
      <w:proofErr w:type="spellStart"/>
      <w:r w:rsidRPr="00DB2BA3">
        <w:rPr>
          <w:i/>
          <w:szCs w:val="18"/>
          <w:lang w:val="nl-NL"/>
        </w:rPr>
        <w:t>and</w:t>
      </w:r>
      <w:proofErr w:type="spellEnd"/>
      <w:r w:rsidRPr="00DB2BA3">
        <w:rPr>
          <w:i/>
          <w:szCs w:val="18"/>
          <w:lang w:val="nl-NL"/>
        </w:rPr>
        <w:t xml:space="preserve"> Order Trust Fund </w:t>
      </w:r>
      <w:proofErr w:type="spellStart"/>
      <w:r w:rsidRPr="00DB2BA3">
        <w:rPr>
          <w:i/>
          <w:szCs w:val="18"/>
          <w:lang w:val="nl-NL"/>
        </w:rPr>
        <w:t>for</w:t>
      </w:r>
      <w:proofErr w:type="spellEnd"/>
      <w:r w:rsidRPr="00DB2BA3">
        <w:rPr>
          <w:i/>
          <w:szCs w:val="18"/>
          <w:lang w:val="nl-NL"/>
        </w:rPr>
        <w:t xml:space="preserve"> Afghanistan</w:t>
      </w:r>
      <w:r w:rsidRPr="00DB2BA3">
        <w:rPr>
          <w:szCs w:val="18"/>
          <w:lang w:val="nl-NL"/>
        </w:rPr>
        <w:t>).</w:t>
      </w:r>
    </w:p>
    <w:p w:rsidR="008C4F9F" w:rsidRPr="00DB2BA3" w:rsidRDefault="008C4F9F" w:rsidP="008C4F9F">
      <w:pPr>
        <w:spacing w:after="0" w:line="276" w:lineRule="auto"/>
        <w:rPr>
          <w:szCs w:val="18"/>
          <w:lang w:val="nl-NL"/>
        </w:rPr>
      </w:pPr>
    </w:p>
    <w:p w:rsidR="008C4F9F" w:rsidRDefault="008C4F9F" w:rsidP="008C4F9F">
      <w:pPr>
        <w:spacing w:line="276" w:lineRule="auto"/>
        <w:rPr>
          <w:b/>
          <w:szCs w:val="18"/>
          <w:lang w:val="nl-NL"/>
        </w:rPr>
      </w:pPr>
      <w:r w:rsidRPr="00743DAA">
        <w:rPr>
          <w:b/>
          <w:szCs w:val="18"/>
          <w:lang w:val="nl-NL"/>
        </w:rPr>
        <w:t xml:space="preserve">Beleidsartikel 3 </w:t>
      </w:r>
    </w:p>
    <w:p w:rsidR="008C4F9F" w:rsidRPr="00DB2BA3" w:rsidRDefault="008C4F9F" w:rsidP="008C4F9F">
      <w:pPr>
        <w:spacing w:after="0" w:line="276" w:lineRule="auto"/>
        <w:rPr>
          <w:i/>
          <w:szCs w:val="18"/>
          <w:lang w:val="nl-NL"/>
        </w:rPr>
      </w:pPr>
      <w:r w:rsidRPr="00DB2BA3">
        <w:rPr>
          <w:i/>
          <w:szCs w:val="18"/>
          <w:lang w:val="nl-NL"/>
        </w:rPr>
        <w:t>Verplichting:</w:t>
      </w:r>
    </w:p>
    <w:p w:rsidR="008C4F9F" w:rsidRDefault="008C4F9F" w:rsidP="008C4F9F">
      <w:pPr>
        <w:spacing w:after="0" w:line="276" w:lineRule="auto"/>
        <w:rPr>
          <w:szCs w:val="18"/>
          <w:lang w:val="nl-NL"/>
        </w:rPr>
      </w:pPr>
      <w:r>
        <w:rPr>
          <w:szCs w:val="18"/>
          <w:lang w:val="nl-NL"/>
        </w:rPr>
        <w:t xml:space="preserve">Zoals in december 2014 aan uw Kamer is gemeld, is op het </w:t>
      </w:r>
      <w:r w:rsidRPr="00DB2BA3">
        <w:rPr>
          <w:szCs w:val="18"/>
          <w:lang w:val="nl-NL"/>
        </w:rPr>
        <w:t xml:space="preserve">artikel </w:t>
      </w:r>
      <w:r>
        <w:rPr>
          <w:szCs w:val="18"/>
          <w:lang w:val="nl-NL"/>
        </w:rPr>
        <w:t>‘</w:t>
      </w:r>
      <w:r w:rsidRPr="00DB2BA3">
        <w:rPr>
          <w:szCs w:val="18"/>
          <w:lang w:val="nl-NL"/>
        </w:rPr>
        <w:t>Een effectief, efficiënt en coherent optreden van de Unie ten opzichte van derde landen en regio’s, inclusief ontwikkelingslanden</w:t>
      </w:r>
      <w:r>
        <w:rPr>
          <w:szCs w:val="18"/>
          <w:lang w:val="nl-NL"/>
        </w:rPr>
        <w:t>’</w:t>
      </w:r>
      <w:r w:rsidRPr="00DB2BA3">
        <w:rPr>
          <w:szCs w:val="18"/>
          <w:lang w:val="nl-NL"/>
        </w:rPr>
        <w:t xml:space="preserve"> (3.2) het verplichtingenbudget opgehoogd met EUR 1.458 mil</w:t>
      </w:r>
      <w:r>
        <w:rPr>
          <w:szCs w:val="18"/>
          <w:lang w:val="nl-NL"/>
        </w:rPr>
        <w:t>joen</w:t>
      </w:r>
      <w:r w:rsidRPr="00DB2BA3">
        <w:rPr>
          <w:szCs w:val="18"/>
          <w:lang w:val="nl-NL"/>
        </w:rPr>
        <w:t>. Dit op basis van de ratificatie door Nederland van EOF 11 (Europees Ontwikkelingsfonds).</w:t>
      </w:r>
    </w:p>
    <w:p w:rsidR="008C4F9F" w:rsidRDefault="008C4F9F" w:rsidP="008C4F9F">
      <w:pPr>
        <w:spacing w:after="0" w:line="276" w:lineRule="auto"/>
        <w:rPr>
          <w:szCs w:val="18"/>
          <w:lang w:val="nl-NL"/>
        </w:rPr>
      </w:pPr>
    </w:p>
    <w:p w:rsidR="008C4F9F" w:rsidRPr="005030DB" w:rsidRDefault="008C4F9F" w:rsidP="008C4F9F">
      <w:pPr>
        <w:spacing w:after="0" w:line="276" w:lineRule="auto"/>
        <w:rPr>
          <w:szCs w:val="18"/>
          <w:lang w:val="nl-NL"/>
        </w:rPr>
      </w:pPr>
      <w:r w:rsidRPr="005030DB">
        <w:rPr>
          <w:szCs w:val="18"/>
          <w:lang w:val="nl-NL"/>
        </w:rPr>
        <w:t>Uitgaven:</w:t>
      </w:r>
    </w:p>
    <w:p w:rsidR="008C4F9F" w:rsidRPr="005030DB" w:rsidRDefault="008C4F9F" w:rsidP="008C4F9F">
      <w:pPr>
        <w:spacing w:after="0"/>
        <w:rPr>
          <w:rFonts w:eastAsia="Times New Roman" w:cs="Courier New"/>
          <w:szCs w:val="18"/>
          <w:lang w:val="nl-NL" w:eastAsia="nl-NL"/>
        </w:rPr>
      </w:pPr>
      <w:r w:rsidRPr="005030DB">
        <w:rPr>
          <w:szCs w:val="18"/>
          <w:lang w:val="nl-NL"/>
        </w:rPr>
        <w:t xml:space="preserve">De stijging van de uitgaven voor de EU-afdrachten </w:t>
      </w:r>
      <w:r>
        <w:rPr>
          <w:szCs w:val="18"/>
          <w:lang w:val="nl-NL"/>
        </w:rPr>
        <w:t xml:space="preserve">wordt veroorzaakt door de </w:t>
      </w:r>
      <w:proofErr w:type="spellStart"/>
      <w:r w:rsidRPr="005030DB">
        <w:rPr>
          <w:rFonts w:cs="Univers"/>
          <w:szCs w:val="18"/>
          <w:lang w:val="nl-NL"/>
        </w:rPr>
        <w:t>de</w:t>
      </w:r>
      <w:proofErr w:type="spellEnd"/>
      <w:r w:rsidRPr="005030DB">
        <w:rPr>
          <w:rFonts w:cs="Univers"/>
          <w:szCs w:val="18"/>
          <w:lang w:val="nl-NL"/>
        </w:rPr>
        <w:t xml:space="preserve"> bruto naheffing als gevolg van de </w:t>
      </w:r>
      <w:proofErr w:type="spellStart"/>
      <w:r w:rsidRPr="005030DB">
        <w:rPr>
          <w:rFonts w:cs="Univers"/>
          <w:szCs w:val="18"/>
          <w:lang w:val="nl-NL"/>
        </w:rPr>
        <w:t>bni</w:t>
      </w:r>
      <w:proofErr w:type="spellEnd"/>
      <w:r w:rsidRPr="005030DB">
        <w:rPr>
          <w:rFonts w:cs="Univers"/>
          <w:szCs w:val="18"/>
          <w:lang w:val="nl-NL"/>
        </w:rPr>
        <w:t>-revisies.</w:t>
      </w:r>
    </w:p>
    <w:p w:rsidR="008C4F9F" w:rsidRPr="00DB2BA3" w:rsidRDefault="008C4F9F" w:rsidP="008C4F9F">
      <w:pPr>
        <w:spacing w:after="0" w:line="276" w:lineRule="auto"/>
        <w:rPr>
          <w:szCs w:val="18"/>
          <w:lang w:val="nl-NL"/>
        </w:rPr>
      </w:pPr>
    </w:p>
    <w:p w:rsidR="008C4F9F" w:rsidRPr="00743DAA" w:rsidRDefault="008C4F9F" w:rsidP="008C4F9F">
      <w:pPr>
        <w:spacing w:line="276" w:lineRule="auto"/>
        <w:rPr>
          <w:szCs w:val="18"/>
          <w:lang w:val="nl-NL"/>
        </w:rPr>
      </w:pPr>
      <w:r w:rsidRPr="00743DAA">
        <w:rPr>
          <w:b/>
          <w:szCs w:val="18"/>
          <w:lang w:val="nl-NL"/>
        </w:rPr>
        <w:t xml:space="preserve">Niet-beleidsartikel </w:t>
      </w:r>
      <w:r>
        <w:rPr>
          <w:b/>
          <w:szCs w:val="18"/>
          <w:lang w:val="nl-NL"/>
        </w:rPr>
        <w:t>7</w:t>
      </w:r>
    </w:p>
    <w:p w:rsidR="008C4F9F" w:rsidRDefault="008C4F9F" w:rsidP="008C4F9F">
      <w:pPr>
        <w:spacing w:after="0" w:line="276" w:lineRule="auto"/>
        <w:rPr>
          <w:i/>
          <w:szCs w:val="18"/>
          <w:lang w:val="nl-NL"/>
        </w:rPr>
      </w:pPr>
      <w:r>
        <w:rPr>
          <w:i/>
          <w:szCs w:val="18"/>
          <w:lang w:val="nl-NL"/>
        </w:rPr>
        <w:t>Verplichting:</w:t>
      </w:r>
    </w:p>
    <w:p w:rsidR="008C4F9F" w:rsidRPr="009F3A5C" w:rsidRDefault="008C4F9F" w:rsidP="008C4F9F">
      <w:pPr>
        <w:spacing w:after="0" w:line="276" w:lineRule="auto"/>
        <w:rPr>
          <w:szCs w:val="18"/>
          <w:lang w:val="nl-NL"/>
        </w:rPr>
      </w:pPr>
      <w:r>
        <w:rPr>
          <w:szCs w:val="18"/>
          <w:lang w:val="nl-NL"/>
        </w:rPr>
        <w:t xml:space="preserve">De daling van de verplichtingen houdt verband met de mutaties zoals toegelicht bij de uitgaven. </w:t>
      </w:r>
    </w:p>
    <w:p w:rsidR="008C4F9F" w:rsidRDefault="008C4F9F" w:rsidP="008C4F9F">
      <w:pPr>
        <w:spacing w:after="0" w:line="276" w:lineRule="auto"/>
        <w:rPr>
          <w:i/>
          <w:szCs w:val="18"/>
          <w:lang w:val="nl-NL"/>
        </w:rPr>
      </w:pPr>
    </w:p>
    <w:p w:rsidR="008C4F9F" w:rsidRPr="0052641E" w:rsidRDefault="008C4F9F" w:rsidP="008C4F9F">
      <w:pPr>
        <w:spacing w:after="0" w:line="276" w:lineRule="auto"/>
        <w:rPr>
          <w:i/>
          <w:szCs w:val="18"/>
          <w:lang w:val="nl-NL"/>
        </w:rPr>
      </w:pPr>
      <w:r w:rsidRPr="0052641E">
        <w:rPr>
          <w:i/>
          <w:szCs w:val="18"/>
          <w:lang w:val="nl-NL"/>
        </w:rPr>
        <w:t>Uitgaven:</w:t>
      </w:r>
    </w:p>
    <w:p w:rsidR="008C4F9F" w:rsidRDefault="008C4F9F" w:rsidP="008C4F9F">
      <w:pPr>
        <w:spacing w:after="0" w:line="276" w:lineRule="auto"/>
        <w:rPr>
          <w:szCs w:val="18"/>
          <w:lang w:val="nl-NL"/>
        </w:rPr>
      </w:pPr>
      <w:r w:rsidRPr="00DB2BA3">
        <w:rPr>
          <w:szCs w:val="18"/>
          <w:lang w:val="nl-NL"/>
        </w:rPr>
        <w:t xml:space="preserve">De lagere realisatie bestaat uit een saldo van personele- en materiele uitgaven. De personeelsuitgaven dalen hoofdzakelijk doordat het personeelsbestand op de posten en op het departement is afgenomen. Daarnaast is de invulling van de kabinetsbezuinigingen sneller geïmplementeerd dan gepland waardoor voor het begrotingsjaar 2014 extra ruimte is ontstaan. Ook zijn uitgaven voor post-actief personeel gedaald vanwege een afname van het aantal wachtgeldgerechtigden en zijn de uitgaven op de investeringsmiddelen ter realisatie van de kwaliteitsdoelen uit het Regeerakkoord later op gang gekomen waardoor een deel doorschuift naar 2015. Ten slotte is de reservering voor de aanspraak op de werkkostenregeling komen te vervallen. Deze reservering wordt opgenomen in 2015. De materiele uitgaven dalen omdat de kosten van huisvesting buitenland af zijn afgenomen. Vanwege de invulling van de bezuiniging op het vastgoed buitenland, vonden er minder investeringen plaats dan oorspronkelijk geraamd. Daarnaast daalden de uitgaven voor onderhoud. </w:t>
      </w:r>
    </w:p>
    <w:p w:rsidR="008C4F9F" w:rsidRDefault="008C4F9F" w:rsidP="008C4F9F">
      <w:pPr>
        <w:spacing w:after="0" w:line="276" w:lineRule="auto"/>
        <w:rPr>
          <w:szCs w:val="18"/>
          <w:lang w:val="nl-NL"/>
        </w:rPr>
      </w:pPr>
    </w:p>
    <w:p w:rsidR="008C4F9F" w:rsidRPr="009F3A5C" w:rsidRDefault="008C4F9F" w:rsidP="008C4F9F">
      <w:pPr>
        <w:spacing w:after="0" w:line="276" w:lineRule="auto"/>
        <w:rPr>
          <w:i/>
          <w:szCs w:val="18"/>
          <w:lang w:val="nl-NL"/>
        </w:rPr>
      </w:pPr>
      <w:r w:rsidRPr="009F3A5C">
        <w:rPr>
          <w:i/>
          <w:szCs w:val="18"/>
          <w:lang w:val="nl-NL"/>
        </w:rPr>
        <w:t>Ontvangsten:</w:t>
      </w:r>
    </w:p>
    <w:p w:rsidR="008C4F9F" w:rsidRPr="009F3A5C" w:rsidRDefault="008C4F9F" w:rsidP="008C4F9F">
      <w:pPr>
        <w:spacing w:after="0" w:line="276" w:lineRule="auto"/>
        <w:rPr>
          <w:szCs w:val="18"/>
          <w:lang w:val="nl-NL"/>
        </w:rPr>
      </w:pPr>
      <w:r w:rsidRPr="009F3A5C">
        <w:rPr>
          <w:szCs w:val="18"/>
          <w:lang w:val="nl-NL"/>
        </w:rPr>
        <w:t xml:space="preserve">De ontvangsten zijn met name gestegen vanwege restituties uit voorgaande jaren. Het betreft vergoedingen </w:t>
      </w:r>
      <w:r>
        <w:rPr>
          <w:szCs w:val="18"/>
          <w:lang w:val="nl-NL"/>
        </w:rPr>
        <w:t xml:space="preserve">door het Ministerie van Justitie </w:t>
      </w:r>
      <w:r w:rsidRPr="009F3A5C">
        <w:rPr>
          <w:szCs w:val="18"/>
          <w:lang w:val="nl-NL"/>
        </w:rPr>
        <w:t xml:space="preserve">voor afgegeven </w:t>
      </w:r>
      <w:proofErr w:type="spellStart"/>
      <w:r w:rsidRPr="009F3A5C">
        <w:rPr>
          <w:szCs w:val="18"/>
          <w:lang w:val="nl-NL"/>
        </w:rPr>
        <w:t>MVV’s</w:t>
      </w:r>
      <w:proofErr w:type="spellEnd"/>
      <w:r w:rsidRPr="009F3A5C">
        <w:rPr>
          <w:szCs w:val="18"/>
          <w:lang w:val="nl-NL"/>
        </w:rPr>
        <w:t xml:space="preserve"> (Machtiging tot Voorlopig Verblijf), BTW teruggaven en restituties van </w:t>
      </w:r>
      <w:r>
        <w:rPr>
          <w:szCs w:val="18"/>
          <w:lang w:val="nl-NL"/>
        </w:rPr>
        <w:t xml:space="preserve">voorschotten op </w:t>
      </w:r>
      <w:r w:rsidRPr="009F3A5C">
        <w:rPr>
          <w:szCs w:val="18"/>
          <w:lang w:val="nl-NL"/>
        </w:rPr>
        <w:t xml:space="preserve">personele uitgaven.  </w:t>
      </w:r>
    </w:p>
    <w:p w:rsidR="008C4F9F" w:rsidRPr="00743DAA" w:rsidRDefault="008C4F9F" w:rsidP="008C4F9F">
      <w:pPr>
        <w:spacing w:after="0" w:line="276" w:lineRule="auto"/>
        <w:rPr>
          <w:szCs w:val="18"/>
          <w:lang w:val="nl-NL"/>
        </w:rPr>
      </w:pPr>
    </w:p>
    <w:p w:rsidR="008C4F9F" w:rsidRPr="00743DAA" w:rsidRDefault="008C4F9F" w:rsidP="008C4F9F">
      <w:pPr>
        <w:spacing w:line="276" w:lineRule="auto"/>
        <w:rPr>
          <w:i/>
          <w:szCs w:val="18"/>
          <w:lang w:val="nl-NL"/>
        </w:rPr>
      </w:pPr>
    </w:p>
    <w:p w:rsidR="009E7070" w:rsidRDefault="009E7070">
      <w:bookmarkStart w:id="0" w:name="_GoBack"/>
      <w:bookmarkEnd w:id="0"/>
    </w:p>
    <w:sectPr w:rsidR="009E7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E1)">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E65"/>
    <w:multiLevelType w:val="hybridMultilevel"/>
    <w:tmpl w:val="A26ED7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62F1E1A"/>
    <w:multiLevelType w:val="hybridMultilevel"/>
    <w:tmpl w:val="008065CE"/>
    <w:lvl w:ilvl="0" w:tplc="0413000F">
      <w:start w:val="1"/>
      <w:numFmt w:val="decimal"/>
      <w:lvlText w:val="%1."/>
      <w:lvlJc w:val="left"/>
      <w:pPr>
        <w:ind w:left="1040" w:hanging="360"/>
      </w:p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9F"/>
    <w:rsid w:val="00485333"/>
    <w:rsid w:val="004F79F1"/>
    <w:rsid w:val="008C4F9F"/>
    <w:rsid w:val="009E7070"/>
    <w:rsid w:val="00A54391"/>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C4F9F"/>
    <w:pPr>
      <w:spacing w:after="200"/>
    </w:pPr>
    <w:rPr>
      <w:rFonts w:ascii="Verdana" w:eastAsiaTheme="minorHAnsi" w:hAnsi="Verdana" w:cstheme="minorBidi"/>
      <w:sz w:val="18"/>
      <w:szCs w:val="22"/>
      <w:lang w:val="en-US" w:eastAsia="en-US"/>
    </w:rPr>
  </w:style>
  <w:style w:type="paragraph" w:styleId="Kop2">
    <w:name w:val="heading 2"/>
    <w:basedOn w:val="Standaard"/>
    <w:next w:val="Standaard"/>
    <w:link w:val="Kop2Char"/>
    <w:qFormat/>
    <w:rsid w:val="008C4F9F"/>
    <w:pPr>
      <w:keepNext/>
      <w:spacing w:before="240" w:after="60"/>
      <w:outlineLvl w:val="1"/>
    </w:pPr>
    <w:rPr>
      <w:rFonts w:ascii="Arial" w:eastAsia="Times New Roman" w:hAnsi="Arial" w:cs="Arial"/>
      <w:b/>
      <w:bCs/>
      <w:i/>
      <w:iCs/>
      <w:sz w:val="28"/>
      <w:szCs w:val="28"/>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C4F9F"/>
    <w:rPr>
      <w:rFonts w:ascii="Arial" w:hAnsi="Arial" w:cs="Arial"/>
      <w:b/>
      <w:bCs/>
      <w:i/>
      <w:iCs/>
      <w:sz w:val="28"/>
      <w:szCs w:val="28"/>
      <w:lang w:eastAsia="zh-CN"/>
    </w:rPr>
  </w:style>
  <w:style w:type="paragraph" w:styleId="Lijstalinea">
    <w:name w:val="List Paragraph"/>
    <w:basedOn w:val="Standaard"/>
    <w:uiPriority w:val="34"/>
    <w:qFormat/>
    <w:rsid w:val="008C4F9F"/>
    <w:pPr>
      <w:spacing w:after="0"/>
      <w:ind w:left="720"/>
      <w:contextualSpacing/>
    </w:pPr>
    <w:rPr>
      <w:rFonts w:ascii="Times New Roman" w:eastAsia="Times New Roman" w:hAnsi="Times New Roman" w:cs="Times New Roman"/>
      <w:sz w:val="24"/>
      <w:szCs w:val="24"/>
      <w:lang w:val="nl-NL" w:eastAsia="zh-CN"/>
    </w:rPr>
  </w:style>
  <w:style w:type="paragraph" w:styleId="Plattetekst2">
    <w:name w:val="Body Text 2"/>
    <w:basedOn w:val="Standaard"/>
    <w:link w:val="Plattetekst2Char"/>
    <w:rsid w:val="008C4F9F"/>
    <w:pPr>
      <w:spacing w:after="0"/>
    </w:pPr>
    <w:rPr>
      <w:rFonts w:ascii="CG Times (E1)" w:eastAsia="Times New Roman" w:hAnsi="CG Times (E1)" w:cs="Times New Roman"/>
      <w:sz w:val="22"/>
      <w:szCs w:val="20"/>
      <w:lang w:val="nl-NL"/>
    </w:rPr>
  </w:style>
  <w:style w:type="character" w:customStyle="1" w:styleId="Plattetekst2Char">
    <w:name w:val="Platte tekst 2 Char"/>
    <w:basedOn w:val="Standaardalinea-lettertype"/>
    <w:link w:val="Plattetekst2"/>
    <w:rsid w:val="008C4F9F"/>
    <w:rPr>
      <w:rFonts w:ascii="CG Times (E1)" w:hAnsi="CG Times (E1)"/>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C4F9F"/>
    <w:pPr>
      <w:spacing w:after="200"/>
    </w:pPr>
    <w:rPr>
      <w:rFonts w:ascii="Verdana" w:eastAsiaTheme="minorHAnsi" w:hAnsi="Verdana" w:cstheme="minorBidi"/>
      <w:sz w:val="18"/>
      <w:szCs w:val="22"/>
      <w:lang w:val="en-US" w:eastAsia="en-US"/>
    </w:rPr>
  </w:style>
  <w:style w:type="paragraph" w:styleId="Kop2">
    <w:name w:val="heading 2"/>
    <w:basedOn w:val="Standaard"/>
    <w:next w:val="Standaard"/>
    <w:link w:val="Kop2Char"/>
    <w:qFormat/>
    <w:rsid w:val="008C4F9F"/>
    <w:pPr>
      <w:keepNext/>
      <w:spacing w:before="240" w:after="60"/>
      <w:outlineLvl w:val="1"/>
    </w:pPr>
    <w:rPr>
      <w:rFonts w:ascii="Arial" w:eastAsia="Times New Roman" w:hAnsi="Arial" w:cs="Arial"/>
      <w:b/>
      <w:bCs/>
      <w:i/>
      <w:iCs/>
      <w:sz w:val="28"/>
      <w:szCs w:val="28"/>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C4F9F"/>
    <w:rPr>
      <w:rFonts w:ascii="Arial" w:hAnsi="Arial" w:cs="Arial"/>
      <w:b/>
      <w:bCs/>
      <w:i/>
      <w:iCs/>
      <w:sz w:val="28"/>
      <w:szCs w:val="28"/>
      <w:lang w:eastAsia="zh-CN"/>
    </w:rPr>
  </w:style>
  <w:style w:type="paragraph" w:styleId="Lijstalinea">
    <w:name w:val="List Paragraph"/>
    <w:basedOn w:val="Standaard"/>
    <w:uiPriority w:val="34"/>
    <w:qFormat/>
    <w:rsid w:val="008C4F9F"/>
    <w:pPr>
      <w:spacing w:after="0"/>
      <w:ind w:left="720"/>
      <w:contextualSpacing/>
    </w:pPr>
    <w:rPr>
      <w:rFonts w:ascii="Times New Roman" w:eastAsia="Times New Roman" w:hAnsi="Times New Roman" w:cs="Times New Roman"/>
      <w:sz w:val="24"/>
      <w:szCs w:val="24"/>
      <w:lang w:val="nl-NL" w:eastAsia="zh-CN"/>
    </w:rPr>
  </w:style>
  <w:style w:type="paragraph" w:styleId="Plattetekst2">
    <w:name w:val="Body Text 2"/>
    <w:basedOn w:val="Standaard"/>
    <w:link w:val="Plattetekst2Char"/>
    <w:rsid w:val="008C4F9F"/>
    <w:pPr>
      <w:spacing w:after="0"/>
    </w:pPr>
    <w:rPr>
      <w:rFonts w:ascii="CG Times (E1)" w:eastAsia="Times New Roman" w:hAnsi="CG Times (E1)" w:cs="Times New Roman"/>
      <w:sz w:val="22"/>
      <w:szCs w:val="20"/>
      <w:lang w:val="nl-NL"/>
    </w:rPr>
  </w:style>
  <w:style w:type="character" w:customStyle="1" w:styleId="Plattetekst2Char">
    <w:name w:val="Platte tekst 2 Char"/>
    <w:basedOn w:val="Standaardalinea-lettertype"/>
    <w:link w:val="Plattetekst2"/>
    <w:rsid w:val="008C4F9F"/>
    <w:rPr>
      <w:rFonts w:ascii="CG Times (E1)" w:hAnsi="CG Times (E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E3BA96A41D37438BBA0EF8B31598EB" ma:contentTypeVersion="0" ma:contentTypeDescription="Een nieuw document maken." ma:contentTypeScope="" ma:versionID="fb15a197be9e203d066ba8e54adad54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4A2A2-E6F9-4AEA-875E-73139CD36037}"/>
</file>

<file path=customXml/itemProps2.xml><?xml version="1.0" encoding="utf-8"?>
<ds:datastoreItem xmlns:ds="http://schemas.openxmlformats.org/officeDocument/2006/customXml" ds:itemID="{75047207-2E03-490F-B048-01ABFBEEFBC7}"/>
</file>

<file path=customXml/itemProps3.xml><?xml version="1.0" encoding="utf-8"?>
<ds:datastoreItem xmlns:ds="http://schemas.openxmlformats.org/officeDocument/2006/customXml" ds:itemID="{4A26EAB2-BE9A-4E7A-9262-2FD629468780}"/>
</file>

<file path=docProps/app.xml><?xml version="1.0" encoding="utf-8"?>
<Properties xmlns="http://schemas.openxmlformats.org/officeDocument/2006/extended-properties" xmlns:vt="http://schemas.openxmlformats.org/officeDocument/2006/docPropsVTypes">
  <Template>708B91FA.dotm</Template>
  <TotalTime>0</TotalTime>
  <Pages>3</Pages>
  <Words>597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Collaris T.</dc:creator>
  <cp:lastModifiedBy>Collaris T.</cp:lastModifiedBy>
  <cp:revision>1</cp:revision>
  <dcterms:created xsi:type="dcterms:W3CDTF">2015-05-20T13:55:00Z</dcterms:created>
  <dcterms:modified xsi:type="dcterms:W3CDTF">2015-05-20T13:55:00Z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0x010100D9E3BA96A41D37438BBA0EF8B31598EB</vt:lpwstr>
  </property>
</Properties>
</file>